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leGrid"/>
        <w:tblW w:w="8653" w:type="dxa"/>
        <w:tblLayout w:type="fixed"/>
        <w:tblLook w:val="04A0" w:firstRow="1" w:lastRow="0" w:firstColumn="1" w:lastColumn="0" w:noHBand="0" w:noVBand="1"/>
      </w:tblPr>
      <w:tblGrid>
        <w:gridCol w:w="3368"/>
        <w:gridCol w:w="5285"/>
      </w:tblGrid>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TARGET GROUPS</w:t>
            </w:r>
          </w:p>
        </w:tc>
        <w:tc>
          <w:tcPr>
            <w:tcW w:w="5285" w:type="dxa"/>
          </w:tcPr>
          <w:p w:rsidR="000458DE" w:rsidRPr="00D64919" w:rsidRDefault="00D64919" w:rsidP="00247727">
            <w:pPr>
              <w:rPr>
                <w:rFonts w:ascii="Verdana" w:hAnsi="Verdana" w:cs="Verdana"/>
                <w:sz w:val="24"/>
                <w:szCs w:val="24"/>
                <w:lang w:val="en-GB"/>
              </w:rPr>
            </w:pPr>
            <w:r w:rsidRPr="00D64919">
              <w:rPr>
                <w:rFonts w:ascii="Verdana" w:hAnsi="Verdana" w:cs="Verdana"/>
                <w:sz w:val="24"/>
                <w:szCs w:val="24"/>
                <w:lang w:val="en-GB"/>
              </w:rPr>
              <w:t>Students over 11 years of age.</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TITLE</w:t>
            </w:r>
          </w:p>
        </w:tc>
        <w:tc>
          <w:tcPr>
            <w:tcW w:w="5285" w:type="dxa"/>
            <w:shd w:val="clear" w:color="auto" w:fill="EEECE1" w:themeFill="background2"/>
          </w:tcPr>
          <w:p w:rsidR="000458DE" w:rsidRPr="00D64919" w:rsidRDefault="00D64919" w:rsidP="00247727">
            <w:pPr>
              <w:jc w:val="center"/>
              <w:rPr>
                <w:rFonts w:ascii="Verdana" w:hAnsi="Verdana" w:cs="Verdana"/>
                <w:b/>
                <w:sz w:val="24"/>
                <w:szCs w:val="24"/>
                <w:lang w:val="en-GB"/>
              </w:rPr>
            </w:pPr>
            <w:r w:rsidRPr="00D64919">
              <w:rPr>
                <w:rFonts w:ascii="Verdana" w:hAnsi="Verdana" w:cs="Verdana"/>
                <w:b/>
                <w:sz w:val="24"/>
                <w:szCs w:val="24"/>
                <w:lang w:val="en-GB"/>
              </w:rPr>
              <w:t>World Game</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RUNNING TIME</w:t>
            </w:r>
          </w:p>
        </w:tc>
        <w:tc>
          <w:tcPr>
            <w:tcW w:w="5285" w:type="dxa"/>
          </w:tcPr>
          <w:p w:rsidR="000458DE" w:rsidRDefault="00D64919" w:rsidP="00247727">
            <w:pPr>
              <w:jc w:val="center"/>
              <w:rPr>
                <w:rFonts w:ascii="Verdana" w:hAnsi="Verdana" w:cs="Verdana"/>
                <w:sz w:val="24"/>
                <w:szCs w:val="24"/>
                <w:lang w:val="en-GB"/>
              </w:rPr>
            </w:pPr>
            <w:r>
              <w:rPr>
                <w:rFonts w:ascii="Verdana" w:hAnsi="Verdana" w:cs="Verdana"/>
                <w:sz w:val="24"/>
                <w:szCs w:val="24"/>
                <w:lang w:val="en-GB"/>
              </w:rPr>
              <w:t>45 minutes for the game</w:t>
            </w:r>
          </w:p>
          <w:p w:rsidR="00D64919" w:rsidRPr="00D64919" w:rsidRDefault="00D64919" w:rsidP="00247727">
            <w:pPr>
              <w:jc w:val="center"/>
              <w:rPr>
                <w:rFonts w:ascii="Verdana" w:hAnsi="Verdana" w:cs="Verdana"/>
                <w:sz w:val="24"/>
                <w:szCs w:val="24"/>
                <w:lang w:val="en-GB"/>
              </w:rPr>
            </w:pPr>
            <w:r>
              <w:rPr>
                <w:rFonts w:ascii="Verdana" w:hAnsi="Verdana" w:cs="Verdana"/>
                <w:sz w:val="24"/>
                <w:szCs w:val="24"/>
                <w:lang w:val="en-GB"/>
              </w:rPr>
              <w:t>45 minutes or more for the debrief</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LEARNING OBJECTIVES</w:t>
            </w:r>
          </w:p>
        </w:tc>
        <w:tc>
          <w:tcPr>
            <w:tcW w:w="5285" w:type="dxa"/>
            <w:shd w:val="clear" w:color="auto" w:fill="EEECE1" w:themeFill="background2"/>
          </w:tcPr>
          <w:p w:rsidR="000458DE" w:rsidRDefault="00D64919" w:rsidP="00247727">
            <w:pPr>
              <w:jc w:val="center"/>
              <w:rPr>
                <w:rFonts w:ascii="Verdana" w:hAnsi="Verdana" w:cs="Verdana"/>
                <w:sz w:val="24"/>
                <w:szCs w:val="24"/>
                <w:lang w:val="en-GB"/>
              </w:rPr>
            </w:pPr>
            <w:r>
              <w:rPr>
                <w:rFonts w:ascii="Verdana" w:hAnsi="Verdana" w:cs="Verdana"/>
                <w:sz w:val="24"/>
                <w:szCs w:val="24"/>
                <w:lang w:val="en-GB"/>
              </w:rPr>
              <w:t>To learn about the global injustice and power systems; the unequal wealth distribution</w:t>
            </w:r>
            <w:r w:rsidR="009460D4">
              <w:rPr>
                <w:rFonts w:ascii="Verdana" w:hAnsi="Verdana" w:cs="Verdana"/>
                <w:sz w:val="24"/>
                <w:szCs w:val="24"/>
                <w:lang w:val="en-GB"/>
              </w:rPr>
              <w:t>.</w:t>
            </w:r>
          </w:p>
          <w:p w:rsidR="009460D4" w:rsidRPr="009460D4" w:rsidRDefault="009460D4" w:rsidP="009460D4">
            <w:pPr>
              <w:pStyle w:val="lo-normal"/>
              <w:rPr>
                <w:rFonts w:ascii="Verdana" w:hAnsi="Verdana" w:cs="Verdana"/>
              </w:rPr>
            </w:pPr>
            <w:r w:rsidRPr="009460D4">
              <w:rPr>
                <w:rFonts w:ascii="Verdana" w:hAnsi="Verdana"/>
              </w:rPr>
              <w:t>Players and the game master together develop a picture of our planet which shows the distribution of the</w:t>
            </w:r>
            <w:r w:rsidRPr="009460D4">
              <w:rPr>
                <w:rStyle w:val="Strong"/>
                <w:rFonts w:ascii="Verdana" w:hAnsi="Verdana"/>
              </w:rPr>
              <w:t xml:space="preserve"> World Population</w:t>
            </w:r>
            <w:r w:rsidRPr="009460D4">
              <w:rPr>
                <w:rFonts w:ascii="Verdana" w:hAnsi="Verdana"/>
              </w:rPr>
              <w:t xml:space="preserve"> and the unequal distribution of wealth and goods, while at the same time pointing out unfair economic processes and the pauperization of big parts of the</w:t>
            </w:r>
            <w:r w:rsidRPr="009460D4">
              <w:rPr>
                <w:rStyle w:val="Strong"/>
                <w:rFonts w:ascii="Verdana" w:hAnsi="Verdana"/>
              </w:rPr>
              <w:t xml:space="preserve"> World Population</w:t>
            </w:r>
            <w:r w:rsidRPr="009460D4">
              <w:rPr>
                <w:rFonts w:ascii="Verdana" w:hAnsi="Verdana"/>
              </w:rPr>
              <w:t>. The game also intends to spark interest in the interrelations between local and global developments. Another aim of the game is to come up with joint solutions through discussing and balancing everyone‘s reasons and arguments (Social learning).</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MATERIALS</w:t>
            </w:r>
          </w:p>
        </w:tc>
        <w:tc>
          <w:tcPr>
            <w:tcW w:w="5285" w:type="dxa"/>
          </w:tcPr>
          <w:p w:rsidR="000458DE" w:rsidRDefault="00D64919" w:rsidP="00247727">
            <w:pPr>
              <w:jc w:val="center"/>
              <w:rPr>
                <w:rFonts w:ascii="Verdana" w:hAnsi="Verdana" w:cs="Verdana"/>
                <w:sz w:val="24"/>
                <w:szCs w:val="24"/>
                <w:lang w:val="en-GB"/>
              </w:rPr>
            </w:pPr>
            <w:r>
              <w:rPr>
                <w:rFonts w:ascii="Verdana" w:hAnsi="Verdana" w:cs="Verdana"/>
                <w:sz w:val="24"/>
                <w:szCs w:val="24"/>
                <w:lang w:val="en-GB"/>
              </w:rPr>
              <w:t>1 cloth “World Map”*</w:t>
            </w:r>
          </w:p>
          <w:p w:rsidR="00D64919" w:rsidRDefault="00D64919" w:rsidP="00247727">
            <w:pPr>
              <w:jc w:val="center"/>
              <w:rPr>
                <w:rFonts w:ascii="Verdana" w:hAnsi="Verdana" w:cs="Verdana"/>
                <w:sz w:val="24"/>
                <w:szCs w:val="24"/>
                <w:lang w:val="en-GB"/>
              </w:rPr>
            </w:pPr>
            <w:r>
              <w:rPr>
                <w:rFonts w:ascii="Verdana" w:hAnsi="Verdana" w:cs="Verdana"/>
                <w:sz w:val="24"/>
                <w:szCs w:val="24"/>
                <w:lang w:val="en-GB"/>
              </w:rPr>
              <w:t>100 cones (= 100% world population)</w:t>
            </w:r>
          </w:p>
          <w:p w:rsidR="00D64919" w:rsidRDefault="00D64919" w:rsidP="00247727">
            <w:pPr>
              <w:jc w:val="center"/>
              <w:rPr>
                <w:rFonts w:ascii="Verdana" w:hAnsi="Verdana" w:cs="Verdana"/>
                <w:sz w:val="24"/>
                <w:szCs w:val="24"/>
                <w:lang w:val="en-GB"/>
              </w:rPr>
            </w:pPr>
            <w:r>
              <w:rPr>
                <w:rFonts w:ascii="Verdana" w:hAnsi="Verdana" w:cs="Verdana"/>
                <w:sz w:val="24"/>
                <w:szCs w:val="24"/>
                <w:lang w:val="en-GB"/>
              </w:rPr>
              <w:t>100 chips (= 100% of the world income – GDP)</w:t>
            </w:r>
          </w:p>
          <w:p w:rsidR="00D64919" w:rsidRPr="00D64919" w:rsidRDefault="00D64919" w:rsidP="00247727">
            <w:pPr>
              <w:jc w:val="center"/>
              <w:rPr>
                <w:rFonts w:ascii="Verdana" w:hAnsi="Verdana" w:cs="Verdana"/>
                <w:sz w:val="24"/>
                <w:szCs w:val="24"/>
                <w:lang w:val="en-GB"/>
              </w:rPr>
            </w:pPr>
            <w:r>
              <w:rPr>
                <w:rFonts w:ascii="Verdana" w:hAnsi="Verdana" w:cs="Verdana"/>
                <w:sz w:val="24"/>
                <w:szCs w:val="24"/>
                <w:lang w:val="en-GB"/>
              </w:rPr>
              <w:t>1 set of instructions (data chart) and background information for the teachers</w:t>
            </w:r>
            <w:r w:rsidR="009460D4">
              <w:rPr>
                <w:rFonts w:ascii="Verdana" w:hAnsi="Verdana" w:cs="Verdana"/>
                <w:sz w:val="24"/>
                <w:szCs w:val="24"/>
                <w:lang w:val="en-GB"/>
              </w:rPr>
              <w:t>.</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PREPARATION</w:t>
            </w:r>
          </w:p>
        </w:tc>
        <w:tc>
          <w:tcPr>
            <w:tcW w:w="5285" w:type="dxa"/>
            <w:shd w:val="clear" w:color="auto" w:fill="EEECE1" w:themeFill="background2"/>
          </w:tcPr>
          <w:p w:rsidR="000242D9" w:rsidRPr="000242D9" w:rsidRDefault="000242D9" w:rsidP="00B54A0E">
            <w:pPr>
              <w:rPr>
                <w:rFonts w:ascii="Verdana" w:hAnsi="Verdana"/>
                <w:b/>
                <w:sz w:val="24"/>
                <w:szCs w:val="24"/>
              </w:rPr>
            </w:pPr>
            <w:r w:rsidRPr="000242D9">
              <w:rPr>
                <w:rFonts w:ascii="Verdana" w:hAnsi="Verdana"/>
                <w:b/>
                <w:sz w:val="24"/>
                <w:szCs w:val="24"/>
              </w:rPr>
              <w:t>STEP 1:</w:t>
            </w:r>
          </w:p>
          <w:p w:rsidR="000458DE" w:rsidRPr="00B54A0E" w:rsidRDefault="00B54A0E" w:rsidP="00B54A0E">
            <w:pPr>
              <w:rPr>
                <w:rFonts w:ascii="Verdana" w:hAnsi="Verdana" w:cs="Verdana"/>
                <w:sz w:val="24"/>
                <w:szCs w:val="24"/>
                <w:lang w:val="en-GB"/>
              </w:rPr>
            </w:pPr>
            <w:r w:rsidRPr="00B54A0E">
              <w:rPr>
                <w:rFonts w:ascii="Verdana" w:hAnsi="Verdana"/>
                <w:sz w:val="24"/>
                <w:szCs w:val="24"/>
              </w:rPr>
              <w:t>To begin with, the game master (the educator / teacher) distributes the cones to the players (either to individual players or to a group). He distributes 100 cones (representing 100% of the</w:t>
            </w:r>
            <w:r w:rsidRPr="00B54A0E">
              <w:rPr>
                <w:rStyle w:val="Strong"/>
                <w:rFonts w:ascii="Verdana" w:hAnsi="Verdana"/>
                <w:sz w:val="24"/>
                <w:szCs w:val="24"/>
              </w:rPr>
              <w:t xml:space="preserve"> World Population</w:t>
            </w:r>
            <w:r w:rsidRPr="00B54A0E">
              <w:rPr>
                <w:rFonts w:ascii="Verdana" w:hAnsi="Verdana"/>
                <w:sz w:val="24"/>
                <w:szCs w:val="24"/>
              </w:rPr>
              <w:t xml:space="preserve">) to be put on different continents. Then the 100 chips symbolizing 100% of the world income </w:t>
            </w:r>
            <w:r w:rsidRPr="00B54A0E">
              <w:rPr>
                <w:rFonts w:ascii="Verdana" w:hAnsi="Verdana"/>
                <w:sz w:val="24"/>
                <w:szCs w:val="24"/>
              </w:rPr>
              <w:lastRenderedPageBreak/>
              <w:t>are distributed. After each step it is the game master‘s task to compare the results with the data given in the chart. See Step 3 and 4, where the distribution and questions regarding the</w:t>
            </w:r>
            <w:r w:rsidRPr="00B54A0E">
              <w:rPr>
                <w:rStyle w:val="Strong"/>
                <w:rFonts w:ascii="Verdana" w:hAnsi="Verdana"/>
                <w:sz w:val="24"/>
                <w:szCs w:val="24"/>
              </w:rPr>
              <w:t xml:space="preserve"> World Population</w:t>
            </w:r>
            <w:r w:rsidRPr="00B54A0E">
              <w:rPr>
                <w:rFonts w:ascii="Verdana" w:hAnsi="Verdana"/>
                <w:sz w:val="24"/>
                <w:szCs w:val="24"/>
              </w:rPr>
              <w:t xml:space="preserve"> and world wealth are described</w:t>
            </w:r>
            <w:proofErr w:type="gramStart"/>
            <w:r w:rsidRPr="00B54A0E">
              <w:rPr>
                <w:rFonts w:ascii="Verdana" w:hAnsi="Verdana"/>
                <w:sz w:val="24"/>
                <w:szCs w:val="24"/>
              </w:rPr>
              <w:t>.</w:t>
            </w:r>
            <w:r>
              <w:rPr>
                <w:rFonts w:ascii="Verdana" w:hAnsi="Verdana"/>
                <w:sz w:val="24"/>
                <w:szCs w:val="24"/>
              </w:rPr>
              <w:t>*</w:t>
            </w:r>
            <w:proofErr w:type="gramEnd"/>
            <w:r>
              <w:rPr>
                <w:rFonts w:ascii="Verdana" w:hAnsi="Verdana"/>
                <w:sz w:val="24"/>
                <w:szCs w:val="24"/>
              </w:rPr>
              <w:t>*</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lastRenderedPageBreak/>
              <w:t>IMPLEMENTATION</w:t>
            </w:r>
          </w:p>
        </w:tc>
        <w:tc>
          <w:tcPr>
            <w:tcW w:w="5285" w:type="dxa"/>
          </w:tcPr>
          <w:p w:rsidR="000242D9" w:rsidRPr="000242D9" w:rsidRDefault="000242D9" w:rsidP="007B2A9F">
            <w:pPr>
              <w:pStyle w:val="NormalWeb"/>
              <w:rPr>
                <w:rFonts w:ascii="Verdana" w:hAnsi="Verdana"/>
                <w:b/>
              </w:rPr>
            </w:pPr>
            <w:r w:rsidRPr="000242D9">
              <w:rPr>
                <w:rFonts w:ascii="Verdana" w:hAnsi="Verdana"/>
                <w:b/>
              </w:rPr>
              <w:t>STEP 2:</w:t>
            </w:r>
          </w:p>
          <w:p w:rsidR="007B2A9F" w:rsidRPr="000242D9" w:rsidRDefault="007B2A9F" w:rsidP="007B2A9F">
            <w:pPr>
              <w:pStyle w:val="NormalWeb"/>
              <w:rPr>
                <w:rFonts w:ascii="Verdana" w:hAnsi="Verdana"/>
              </w:rPr>
            </w:pPr>
            <w:r w:rsidRPr="000242D9">
              <w:rPr>
                <w:rFonts w:ascii="Verdana" w:hAnsi="Verdana"/>
              </w:rPr>
              <w:t>The game master asks the players if the world map in front of them strikes them in any way. Usually it is the uncommon proportions of the continents in the southern hemisphere (e.g. Africa) which attract the most attention.</w:t>
            </w:r>
          </w:p>
          <w:p w:rsidR="007B2A9F" w:rsidRPr="000242D9" w:rsidRDefault="007B2A9F" w:rsidP="007B2A9F">
            <w:pPr>
              <w:pStyle w:val="NormalWeb"/>
              <w:rPr>
                <w:rFonts w:ascii="Verdana" w:hAnsi="Verdana"/>
              </w:rPr>
            </w:pPr>
            <w:r w:rsidRPr="000242D9">
              <w:rPr>
                <w:rFonts w:ascii="Verdana" w:hAnsi="Verdana"/>
              </w:rPr>
              <w:t>The game master then points out that the continents on the map are not shown as usually represented on maps, but according to their real proportions, using the so-called</w:t>
            </w:r>
            <w:r w:rsidRPr="000242D9">
              <w:rPr>
                <w:rStyle w:val="Strong"/>
                <w:rFonts w:ascii="Verdana" w:hAnsi="Verdana"/>
              </w:rPr>
              <w:t xml:space="preserve"> </w:t>
            </w:r>
            <w:hyperlink r:id="rId6" w:history="1">
              <w:r w:rsidRPr="000242D9">
                <w:rPr>
                  <w:rStyle w:val="Hyperlink"/>
                  <w:rFonts w:ascii="Verdana" w:hAnsi="Verdana"/>
                  <w:b/>
                  <w:bCs/>
                </w:rPr>
                <w:t>Gall-Peters Projection</w:t>
              </w:r>
            </w:hyperlink>
            <w:r w:rsidRPr="000242D9">
              <w:rPr>
                <w:rFonts w:ascii="Verdana" w:hAnsi="Verdana"/>
              </w:rPr>
              <w:t>.***</w:t>
            </w:r>
          </w:p>
          <w:p w:rsidR="007B2A9F" w:rsidRPr="000242D9" w:rsidRDefault="007B2A9F" w:rsidP="007B2A9F">
            <w:pPr>
              <w:pStyle w:val="NormalWeb"/>
              <w:rPr>
                <w:rFonts w:ascii="Verdana" w:hAnsi="Verdana"/>
              </w:rPr>
            </w:pPr>
            <w:r w:rsidRPr="000242D9">
              <w:rPr>
                <w:rFonts w:ascii="Verdana" w:hAnsi="Verdana"/>
              </w:rPr>
              <w:t xml:space="preserve"> The countries belonging to the </w:t>
            </w:r>
            <w:hyperlink r:id="rId7" w:tgtFrame="_blank" w:history="1">
              <w:r w:rsidRPr="000242D9">
                <w:rPr>
                  <w:rStyle w:val="Hyperlink"/>
                  <w:rFonts w:ascii="Verdana" w:hAnsi="Verdana"/>
                </w:rPr>
                <w:t>Group of Eight (G8)</w:t>
              </w:r>
            </w:hyperlink>
            <w:r w:rsidRPr="000242D9">
              <w:rPr>
                <w:rFonts w:ascii="Verdana" w:hAnsi="Verdana"/>
              </w:rPr>
              <w:t xml:space="preserve"> are represented in accordance to their political and economic importance (find more details below under Background Information). You can also discuss the </w:t>
            </w:r>
            <w:r w:rsidRPr="000242D9">
              <w:rPr>
                <w:rFonts w:ascii="Verdana" w:hAnsi="Verdana"/>
              </w:rPr>
              <w:fldChar w:fldCharType="begin"/>
            </w:r>
            <w:r w:rsidRPr="000242D9">
              <w:rPr>
                <w:rFonts w:ascii="Verdana" w:hAnsi="Verdana"/>
              </w:rPr>
              <w:instrText xml:space="preserve"> HYPERLINK "https://g20.org/about-g20/" \t "_blank" </w:instrText>
            </w:r>
            <w:r w:rsidRPr="000242D9">
              <w:rPr>
                <w:rFonts w:ascii="Verdana" w:hAnsi="Verdana"/>
              </w:rPr>
              <w:fldChar w:fldCharType="separate"/>
            </w:r>
            <w:r w:rsidRPr="000242D9">
              <w:rPr>
                <w:rStyle w:val="Hyperlink"/>
                <w:rFonts w:ascii="Verdana" w:hAnsi="Verdana"/>
              </w:rPr>
              <w:t>Group of 20</w:t>
            </w:r>
            <w:r w:rsidRPr="000242D9">
              <w:rPr>
                <w:rFonts w:ascii="Verdana" w:hAnsi="Verdana"/>
              </w:rPr>
              <w:fldChar w:fldCharType="end"/>
            </w:r>
            <w:r w:rsidRPr="000242D9">
              <w:rPr>
                <w:rFonts w:ascii="Verdana" w:hAnsi="Verdana"/>
              </w:rPr>
              <w:t xml:space="preserve"> with the students.</w:t>
            </w:r>
          </w:p>
          <w:p w:rsidR="000242D9" w:rsidRPr="000242D9" w:rsidRDefault="000242D9" w:rsidP="00E95471">
            <w:pPr>
              <w:pStyle w:val="NormalWeb"/>
              <w:rPr>
                <w:rStyle w:val="Strong"/>
                <w:rFonts w:ascii="Verdana" w:hAnsi="Verdana"/>
              </w:rPr>
            </w:pPr>
            <w:r w:rsidRPr="000242D9">
              <w:rPr>
                <w:rStyle w:val="Strong"/>
                <w:rFonts w:ascii="Verdana" w:hAnsi="Verdana"/>
              </w:rPr>
              <w:t xml:space="preserve">Step 3: </w:t>
            </w:r>
          </w:p>
          <w:p w:rsidR="00E95471" w:rsidRPr="000242D9" w:rsidRDefault="00E95471" w:rsidP="00E95471">
            <w:pPr>
              <w:pStyle w:val="NormalWeb"/>
              <w:rPr>
                <w:rFonts w:ascii="Verdana" w:hAnsi="Verdana"/>
              </w:rPr>
            </w:pPr>
            <w:r w:rsidRPr="000242D9">
              <w:rPr>
                <w:rStyle w:val="Strong"/>
                <w:rFonts w:ascii="Verdana" w:hAnsi="Verdana"/>
              </w:rPr>
              <w:t>ESTIMATING AND DISTRIBUTING THE</w:t>
            </w:r>
            <w:r w:rsidR="000242D9">
              <w:rPr>
                <w:rStyle w:val="Strong"/>
                <w:rFonts w:ascii="Verdana" w:hAnsi="Verdana"/>
              </w:rPr>
              <w:t xml:space="preserve"> </w:t>
            </w:r>
            <w:r w:rsidRPr="000242D9">
              <w:rPr>
                <w:rStyle w:val="Strong"/>
                <w:rFonts w:ascii="Verdana" w:hAnsi="Verdana"/>
              </w:rPr>
              <w:t>World Population</w:t>
            </w:r>
          </w:p>
          <w:p w:rsidR="00E95471" w:rsidRPr="000242D9" w:rsidRDefault="00E95471" w:rsidP="00E95471">
            <w:pPr>
              <w:pStyle w:val="NormalWeb"/>
              <w:rPr>
                <w:rFonts w:ascii="Verdana" w:hAnsi="Verdana"/>
              </w:rPr>
            </w:pPr>
            <w:r w:rsidRPr="000242D9">
              <w:rPr>
                <w:rFonts w:ascii="Verdana" w:hAnsi="Verdana"/>
              </w:rPr>
              <w:t>Now it is the players‘ turn to estimate the percentage of the</w:t>
            </w:r>
            <w:r w:rsidRPr="000242D9">
              <w:rPr>
                <w:rStyle w:val="Strong"/>
                <w:rFonts w:ascii="Verdana" w:hAnsi="Verdana"/>
              </w:rPr>
              <w:t xml:space="preserve"> World Population</w:t>
            </w:r>
            <w:r w:rsidRPr="000242D9">
              <w:rPr>
                <w:rFonts w:ascii="Verdana" w:hAnsi="Verdana"/>
              </w:rPr>
              <w:t xml:space="preserve"> that lives on each continent and to distribute the 100 cones on the world map accordingly.</w:t>
            </w:r>
          </w:p>
          <w:p w:rsidR="00E95471" w:rsidRPr="000242D9" w:rsidRDefault="00E95471" w:rsidP="00E95471">
            <w:pPr>
              <w:pStyle w:val="NormalWeb"/>
              <w:rPr>
                <w:rFonts w:ascii="Verdana" w:hAnsi="Verdana"/>
              </w:rPr>
            </w:pPr>
            <w:r w:rsidRPr="000242D9">
              <w:rPr>
                <w:rFonts w:ascii="Verdana" w:hAnsi="Verdana"/>
              </w:rPr>
              <w:t xml:space="preserve">To avoid miscounting and losing track of the number of cones to be distributed, the cones should be kept in groups of </w:t>
            </w:r>
            <w:r w:rsidRPr="000242D9">
              <w:rPr>
                <w:rFonts w:ascii="Verdana" w:hAnsi="Verdana"/>
              </w:rPr>
              <w:lastRenderedPageBreak/>
              <w:t>tens and fives.</w:t>
            </w:r>
          </w:p>
          <w:p w:rsidR="00E95471" w:rsidRPr="000242D9" w:rsidRDefault="00E95471" w:rsidP="00E95471">
            <w:pPr>
              <w:pStyle w:val="NormalWeb"/>
              <w:rPr>
                <w:rFonts w:ascii="Verdana" w:hAnsi="Verdana"/>
              </w:rPr>
            </w:pPr>
            <w:r w:rsidRPr="000242D9">
              <w:rPr>
                <w:rFonts w:ascii="Verdana" w:hAnsi="Verdana"/>
              </w:rPr>
              <w:t>After all the cones have been placed on the world map, the game master together with the players compares the results with the data given in the chart. It is advisable to write the results as well as the respective correct answers on a big sheet of paper.</w:t>
            </w:r>
          </w:p>
          <w:p w:rsidR="00E95471" w:rsidRPr="000242D9" w:rsidRDefault="00E95471" w:rsidP="00E95471">
            <w:pPr>
              <w:pStyle w:val="NormalWeb"/>
              <w:rPr>
                <w:rStyle w:val="Emphasis"/>
                <w:rFonts w:ascii="Verdana" w:hAnsi="Verdana"/>
              </w:rPr>
            </w:pPr>
            <w:r w:rsidRPr="000242D9">
              <w:rPr>
                <w:rFonts w:ascii="Verdana" w:hAnsi="Verdana"/>
              </w:rPr>
              <w:t xml:space="preserve">During this part of the game different questions might be discussed, such as </w:t>
            </w:r>
            <w:r w:rsidRPr="000242D9">
              <w:rPr>
                <w:rStyle w:val="Emphasis"/>
                <w:rFonts w:ascii="Verdana" w:hAnsi="Verdana"/>
              </w:rPr>
              <w:t>„What do you think affects our estimate of the distribution of the</w:t>
            </w:r>
            <w:r w:rsidRPr="000242D9">
              <w:rPr>
                <w:rStyle w:val="Strong"/>
                <w:rFonts w:ascii="Verdana" w:hAnsi="Verdana"/>
                <w:i/>
                <w:iCs/>
              </w:rPr>
              <w:t xml:space="preserve"> World Population</w:t>
            </w:r>
            <w:r w:rsidRPr="000242D9">
              <w:rPr>
                <w:rStyle w:val="Emphasis"/>
                <w:rFonts w:ascii="Verdana" w:hAnsi="Verdana"/>
              </w:rPr>
              <w:t>?“ or „Which images, interests and fears do you think are hidden beneath?“</w:t>
            </w:r>
          </w:p>
          <w:p w:rsidR="000242D9" w:rsidRPr="000242D9" w:rsidRDefault="000242D9" w:rsidP="000242D9">
            <w:pPr>
              <w:pStyle w:val="NormalWeb"/>
              <w:rPr>
                <w:rStyle w:val="Strong"/>
                <w:rFonts w:ascii="Verdana" w:hAnsi="Verdana"/>
              </w:rPr>
            </w:pPr>
            <w:r w:rsidRPr="000242D9">
              <w:rPr>
                <w:rStyle w:val="Strong"/>
                <w:rFonts w:ascii="Verdana" w:hAnsi="Verdana"/>
              </w:rPr>
              <w:t xml:space="preserve">Step 4: </w:t>
            </w:r>
          </w:p>
          <w:p w:rsidR="000242D9" w:rsidRPr="000242D9" w:rsidRDefault="000242D9" w:rsidP="000242D9">
            <w:pPr>
              <w:pStyle w:val="NormalWeb"/>
              <w:rPr>
                <w:rFonts w:ascii="Verdana" w:hAnsi="Verdana"/>
              </w:rPr>
            </w:pPr>
            <w:r w:rsidRPr="000242D9">
              <w:rPr>
                <w:rStyle w:val="Strong"/>
                <w:rFonts w:ascii="Verdana" w:hAnsi="Verdana"/>
              </w:rPr>
              <w:t>ESTIMATING AND DISTRIBUTING THE WORLD INCOME</w:t>
            </w:r>
          </w:p>
          <w:p w:rsidR="000242D9" w:rsidRPr="000242D9" w:rsidRDefault="000242D9" w:rsidP="000242D9">
            <w:pPr>
              <w:pStyle w:val="NormalWeb"/>
              <w:rPr>
                <w:rFonts w:ascii="Verdana" w:hAnsi="Verdana"/>
              </w:rPr>
            </w:pPr>
            <w:r w:rsidRPr="000242D9">
              <w:rPr>
                <w:rFonts w:ascii="Verdana" w:hAnsi="Verdana"/>
              </w:rPr>
              <w:t>The distribution of the world income is estimated using the 100 chips.</w:t>
            </w:r>
          </w:p>
          <w:p w:rsidR="000242D9" w:rsidRPr="000242D9" w:rsidRDefault="000242D9" w:rsidP="000242D9">
            <w:pPr>
              <w:pStyle w:val="NormalWeb"/>
              <w:rPr>
                <w:rFonts w:ascii="Verdana" w:hAnsi="Verdana"/>
              </w:rPr>
            </w:pPr>
            <w:r w:rsidRPr="000242D9">
              <w:rPr>
                <w:rFonts w:ascii="Verdana" w:hAnsi="Verdana"/>
              </w:rPr>
              <w:t>Afterwards the game master and the players again verify their hypotheses using the data given in the chart.</w:t>
            </w:r>
          </w:p>
          <w:p w:rsidR="000242D9" w:rsidRPr="000242D9" w:rsidRDefault="000242D9" w:rsidP="000242D9">
            <w:pPr>
              <w:pStyle w:val="NormalWeb"/>
              <w:rPr>
                <w:rFonts w:ascii="Verdana" w:hAnsi="Verdana"/>
              </w:rPr>
            </w:pPr>
            <w:r w:rsidRPr="000242D9">
              <w:rPr>
                <w:rFonts w:ascii="Verdana" w:hAnsi="Verdana"/>
              </w:rPr>
              <w:t>To keep the level of restlessness and noise down when working with big groups of students it usually works well to select some students and put them in charge of distributing the chips.</w:t>
            </w:r>
          </w:p>
          <w:p w:rsidR="000242D9" w:rsidRPr="000242D9" w:rsidRDefault="000242D9" w:rsidP="000242D9">
            <w:pPr>
              <w:pStyle w:val="NormalWeb"/>
              <w:rPr>
                <w:rFonts w:ascii="Verdana" w:hAnsi="Verdana"/>
              </w:rPr>
            </w:pPr>
            <w:r w:rsidRPr="000242D9">
              <w:rPr>
                <w:rFonts w:ascii="Verdana" w:hAnsi="Verdana"/>
              </w:rPr>
              <w:t>At the end of the game it is very important to talk about the images conjured by the game and the impact of the game on the individual players.</w:t>
            </w:r>
          </w:p>
          <w:p w:rsidR="000458DE" w:rsidRPr="000242D9" w:rsidRDefault="000242D9" w:rsidP="003311F5">
            <w:pPr>
              <w:pStyle w:val="NormalWeb"/>
              <w:rPr>
                <w:rFonts w:ascii="Verdana" w:hAnsi="Verdana" w:cs="Verdana"/>
              </w:rPr>
            </w:pPr>
            <w:r w:rsidRPr="000242D9">
              <w:rPr>
                <w:rFonts w:ascii="Verdana" w:hAnsi="Verdana"/>
              </w:rPr>
              <w:t xml:space="preserve">The World Game can be used as a starting point for dealing with a variety of subjects such as trading with everyday commodities, e.g. bananas, rice, cocoa or cotton. If time allows it, the game can be expanded in a way that players try to distribute cones representing world </w:t>
            </w:r>
            <w:r w:rsidRPr="000242D9">
              <w:rPr>
                <w:rFonts w:ascii="Verdana" w:hAnsi="Verdana"/>
              </w:rPr>
              <w:lastRenderedPageBreak/>
              <w:t>distribution of world oil supplies; CO</w:t>
            </w:r>
            <w:r w:rsidRPr="000242D9">
              <w:rPr>
                <w:rFonts w:ascii="Verdana" w:hAnsi="Verdana"/>
                <w:vertAlign w:val="subscript"/>
              </w:rPr>
              <w:t>2</w:t>
            </w:r>
            <w:r w:rsidRPr="000242D9">
              <w:rPr>
                <w:rFonts w:ascii="Verdana" w:hAnsi="Verdana"/>
              </w:rPr>
              <w:t xml:space="preserve"> emission and import/export of toys. See the data charts below.</w:t>
            </w:r>
            <w:r w:rsidR="006928F5">
              <w:rPr>
                <w:rFonts w:ascii="Verdana" w:hAnsi="Verdana"/>
              </w:rPr>
              <w:t>****</w:t>
            </w:r>
            <w:bookmarkStart w:id="0" w:name="_GoBack"/>
            <w:bookmarkEnd w:id="0"/>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lastRenderedPageBreak/>
              <w:t>ROLE OF THE TEACHER</w:t>
            </w:r>
          </w:p>
        </w:tc>
        <w:tc>
          <w:tcPr>
            <w:tcW w:w="5285" w:type="dxa"/>
            <w:shd w:val="clear" w:color="auto" w:fill="EEECE1" w:themeFill="background2"/>
          </w:tcPr>
          <w:p w:rsidR="000458DE" w:rsidRPr="00D64919" w:rsidRDefault="00651BC5" w:rsidP="00247727">
            <w:pPr>
              <w:jc w:val="center"/>
              <w:rPr>
                <w:rFonts w:ascii="Verdana" w:hAnsi="Verdana" w:cs="Verdana"/>
                <w:sz w:val="24"/>
                <w:szCs w:val="24"/>
                <w:lang w:val="en-GB"/>
              </w:rPr>
            </w:pPr>
            <w:r>
              <w:rPr>
                <w:rFonts w:ascii="Verdana" w:hAnsi="Verdana" w:cs="Verdana"/>
                <w:sz w:val="24"/>
                <w:szCs w:val="24"/>
                <w:lang w:val="en-GB"/>
              </w:rPr>
              <w:t>Facilitator of the game and the debriefing session</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POSSIBLE RISKS &amp; HOW TO HANDLE THEM</w:t>
            </w:r>
          </w:p>
        </w:tc>
        <w:tc>
          <w:tcPr>
            <w:tcW w:w="5285" w:type="dxa"/>
          </w:tcPr>
          <w:p w:rsidR="000458DE" w:rsidRPr="00D64919" w:rsidRDefault="009460D4" w:rsidP="00247727">
            <w:pPr>
              <w:jc w:val="center"/>
              <w:rPr>
                <w:rFonts w:ascii="Verdana" w:hAnsi="Verdana" w:cs="Verdana"/>
                <w:sz w:val="24"/>
                <w:szCs w:val="24"/>
                <w:lang w:val="en-GB"/>
              </w:rPr>
            </w:pPr>
            <w:r>
              <w:rPr>
                <w:rFonts w:ascii="Verdana" w:hAnsi="Verdana" w:cs="Verdana"/>
                <w:sz w:val="24"/>
                <w:szCs w:val="24"/>
                <w:lang w:val="en-GB"/>
              </w:rPr>
              <w:t>/</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FEEDBACK TOOL</w:t>
            </w:r>
          </w:p>
        </w:tc>
        <w:tc>
          <w:tcPr>
            <w:tcW w:w="5285" w:type="dxa"/>
          </w:tcPr>
          <w:p w:rsidR="000458DE" w:rsidRPr="00D64919" w:rsidRDefault="009460D4" w:rsidP="00247727">
            <w:pPr>
              <w:jc w:val="center"/>
              <w:rPr>
                <w:rFonts w:ascii="Verdana" w:hAnsi="Verdana" w:cs="Verdana"/>
                <w:sz w:val="24"/>
                <w:szCs w:val="24"/>
                <w:lang w:val="en-GB"/>
              </w:rPr>
            </w:pPr>
            <w:r>
              <w:rPr>
                <w:rFonts w:ascii="Verdana" w:hAnsi="Verdana" w:cs="Verdana"/>
                <w:sz w:val="24"/>
                <w:szCs w:val="24"/>
                <w:lang w:val="en-GB"/>
              </w:rPr>
              <w:t>/</w:t>
            </w:r>
          </w:p>
        </w:tc>
      </w:tr>
    </w:tbl>
    <w:p w:rsidR="000458DE" w:rsidRPr="00D64919" w:rsidRDefault="00D64919" w:rsidP="00D64919">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0"/>
          <w:szCs w:val="20"/>
          <w:shd w:val="clear" w:color="auto" w:fill="FFFFFF"/>
          <w:lang w:val="en-GB"/>
        </w:rPr>
      </w:pPr>
      <w:r>
        <w:rPr>
          <w:rStyle w:val="Nessuno"/>
          <w:rFonts w:ascii="Verdana" w:hAnsi="Verdana" w:cs="Verdana"/>
          <w:sz w:val="20"/>
          <w:szCs w:val="20"/>
          <w:shd w:val="clear" w:color="auto" w:fill="FFFFFF"/>
          <w:lang w:val="en-US"/>
        </w:rPr>
        <w:t xml:space="preserve">* </w:t>
      </w:r>
      <w:r w:rsidRPr="00D64919">
        <w:rPr>
          <w:rStyle w:val="Nessuno"/>
          <w:rFonts w:ascii="Verdana" w:hAnsi="Verdana" w:cs="Verdana"/>
          <w:sz w:val="20"/>
          <w:szCs w:val="20"/>
          <w:shd w:val="clear" w:color="auto" w:fill="FFFFFF"/>
          <w:lang w:val="en-GB"/>
        </w:rPr>
        <w:t xml:space="preserve">The cloth “World map” was done by the artists using only recycled pieces of old textile (contact HUMANITAS at </w:t>
      </w:r>
      <w:hyperlink r:id="rId8" w:history="1">
        <w:r w:rsidRPr="00D64919">
          <w:rPr>
            <w:rStyle w:val="Hyperlink"/>
            <w:rFonts w:ascii="Verdana" w:hAnsi="Verdana" w:cs="Verdana"/>
            <w:sz w:val="20"/>
            <w:szCs w:val="20"/>
            <w:shd w:val="clear" w:color="auto" w:fill="FFFFFF"/>
            <w:lang w:val="en-GB"/>
          </w:rPr>
          <w:t>info@humanitas.si</w:t>
        </w:r>
      </w:hyperlink>
      <w:r w:rsidRPr="00D64919">
        <w:rPr>
          <w:rStyle w:val="Nessuno"/>
          <w:rFonts w:ascii="Verdana" w:hAnsi="Verdana" w:cs="Verdana"/>
          <w:sz w:val="20"/>
          <w:szCs w:val="20"/>
          <w:shd w:val="clear" w:color="auto" w:fill="FFFFFF"/>
          <w:lang w:val="en-GB"/>
        </w:rPr>
        <w:t xml:space="preserve"> for further information)</w:t>
      </w:r>
    </w:p>
    <w:p w:rsidR="00163F04" w:rsidRDefault="00B54A0E">
      <w:pPr>
        <w:rPr>
          <w:rFonts w:ascii="Verdana" w:hAnsi="Verdana"/>
        </w:rPr>
      </w:pPr>
      <w:r>
        <w:rPr>
          <w:rFonts w:ascii="Verdana" w:hAnsi="Verdana"/>
        </w:rPr>
        <w:t xml:space="preserve">** </w:t>
      </w:r>
      <w:r w:rsidRPr="00B54A0E">
        <w:rPr>
          <w:rFonts w:ascii="Verdana" w:hAnsi="Verdana"/>
        </w:rPr>
        <w:t xml:space="preserve">An idea: you can use different old buttons for chips and some “people” cones from games like </w:t>
      </w:r>
      <w:proofErr w:type="spellStart"/>
      <w:r w:rsidRPr="00B54A0E">
        <w:rPr>
          <w:rFonts w:ascii="Verdana" w:hAnsi="Verdana"/>
        </w:rPr>
        <w:t>Ludo</w:t>
      </w:r>
      <w:proofErr w:type="spellEnd"/>
      <w:r w:rsidRPr="00B54A0E">
        <w:rPr>
          <w:rFonts w:ascii="Verdana" w:hAnsi="Verdana"/>
        </w:rPr>
        <w:t xml:space="preserve"> or maybe even some old Lego blocks</w:t>
      </w:r>
    </w:p>
    <w:p w:rsidR="007B2A9F" w:rsidRDefault="007B2A9F">
      <w:pPr>
        <w:rPr>
          <w:rFonts w:ascii="Verdana" w:hAnsi="Verdana"/>
        </w:rPr>
      </w:pPr>
      <w:r>
        <w:rPr>
          <w:rFonts w:ascii="Verdana" w:hAnsi="Verdana"/>
        </w:rPr>
        <w:t xml:space="preserve">*** Gall </w:t>
      </w:r>
      <w:proofErr w:type="gramStart"/>
      <w:r>
        <w:rPr>
          <w:rFonts w:ascii="Verdana" w:hAnsi="Verdana"/>
        </w:rPr>
        <w:t>Peters</w:t>
      </w:r>
      <w:proofErr w:type="gramEnd"/>
      <w:r>
        <w:rPr>
          <w:rFonts w:ascii="Verdana" w:hAnsi="Verdana"/>
        </w:rPr>
        <w:t xml:space="preserve"> projection of the world </w:t>
      </w:r>
      <w:r>
        <w:rPr>
          <w:rFonts w:ascii="Verdana" w:hAnsi="Verdana"/>
          <w:noProof/>
          <w:lang w:val="sl-SI" w:eastAsia="sl-SI"/>
        </w:rPr>
        <w:drawing>
          <wp:inline distT="0" distB="0" distL="0" distR="0" wp14:anchorId="76C33D2D" wp14:editId="3B0EEAFF">
            <wp:extent cx="441960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 Peter's projection.png"/>
                    <pic:cNvPicPr/>
                  </pic:nvPicPr>
                  <pic:blipFill>
                    <a:blip r:embed="rId9">
                      <a:extLst>
                        <a:ext uri="{28A0092B-C50C-407E-A947-70E740481C1C}">
                          <a14:useLocalDpi xmlns:a14="http://schemas.microsoft.com/office/drawing/2010/main" val="0"/>
                        </a:ext>
                      </a:extLst>
                    </a:blip>
                    <a:stretch>
                      <a:fillRect/>
                    </a:stretch>
                  </pic:blipFill>
                  <pic:spPr>
                    <a:xfrm>
                      <a:off x="0" y="0"/>
                      <a:ext cx="4419600" cy="2838450"/>
                    </a:xfrm>
                    <a:prstGeom prst="rect">
                      <a:avLst/>
                    </a:prstGeom>
                  </pic:spPr>
                </pic:pic>
              </a:graphicData>
            </a:graphic>
          </wp:inline>
        </w:drawing>
      </w:r>
    </w:p>
    <w:p w:rsidR="00917AFB" w:rsidRDefault="00917AFB">
      <w:r>
        <w:t xml:space="preserve">(Credit: </w:t>
      </w:r>
      <w:hyperlink r:id="rId10" w:tgtFrame="_blank" w:history="1">
        <w:r>
          <w:rPr>
            <w:rStyle w:val="Hyperlink"/>
          </w:rPr>
          <w:t>http://en.wikipedia.org/wiki/Gall%E2%80%93Peters_projection)</w:t>
        </w:r>
      </w:hyperlink>
    </w:p>
    <w:p w:rsidR="009460D4" w:rsidRDefault="009460D4" w:rsidP="009460D4">
      <w:pPr>
        <w:pStyle w:val="NormalWeb"/>
      </w:pPr>
      <w:r>
        <w:t xml:space="preserve">**** </w:t>
      </w:r>
      <w:r>
        <w:rPr>
          <w:rStyle w:val="Strong"/>
        </w:rPr>
        <w:t>BACKGROUND INFORMATION</w:t>
      </w:r>
    </w:p>
    <w:p w:rsidR="009460D4" w:rsidRDefault="009460D4" w:rsidP="009460D4">
      <w:pPr>
        <w:pStyle w:val="NormalWeb"/>
      </w:pPr>
      <w:r>
        <w:t>The data (2014)</w:t>
      </w:r>
    </w:p>
    <w:p w:rsidR="009460D4" w:rsidRDefault="009460D4" w:rsidP="009460D4">
      <w:pPr>
        <w:pStyle w:val="NormalWeb"/>
      </w:pPr>
      <w:r>
        <w:t>(</w:t>
      </w:r>
      <w:r>
        <w:rPr>
          <w:rStyle w:val="Strong"/>
        </w:rPr>
        <w:t>Attention to the teacher</w:t>
      </w:r>
      <w:r>
        <w:t>: the data should be verified and recalculated before each workshop, because it is constantly changing)</w:t>
      </w:r>
    </w:p>
    <w:p w:rsidR="009460D4" w:rsidRDefault="009460D4" w:rsidP="009460D4">
      <w:pPr>
        <w:pStyle w:val="NormalWeb"/>
      </w:pPr>
      <w:r>
        <w:rPr>
          <w:rStyle w:val="Strong"/>
        </w:rPr>
        <w:t>World population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10"/>
        <w:gridCol w:w="1529"/>
        <w:gridCol w:w="740"/>
        <w:gridCol w:w="1512"/>
        <w:gridCol w:w="1196"/>
        <w:gridCol w:w="740"/>
        <w:gridCol w:w="455"/>
      </w:tblGrid>
      <w:tr w:rsidR="009460D4" w:rsidTr="009460D4">
        <w:trPr>
          <w:gridAfter w:val="1"/>
          <w:tblCellSpacing w:w="15" w:type="dxa"/>
        </w:trPr>
        <w:tc>
          <w:tcPr>
            <w:tcW w:w="0" w:type="auto"/>
            <w:vAlign w:val="center"/>
            <w:hideMark/>
          </w:tcPr>
          <w:p w:rsidR="009460D4" w:rsidRDefault="009460D4">
            <w:pPr>
              <w:pStyle w:val="NormalWeb"/>
            </w:pPr>
            <w:r>
              <w:t>Population</w:t>
            </w:r>
          </w:p>
        </w:tc>
        <w:tc>
          <w:tcPr>
            <w:tcW w:w="0" w:type="auto"/>
            <w:vAlign w:val="center"/>
            <w:hideMark/>
          </w:tcPr>
          <w:p w:rsidR="009460D4" w:rsidRDefault="009460D4">
            <w:pPr>
              <w:pStyle w:val="NormalWeb"/>
            </w:pPr>
            <w:r>
              <w:t>Population (%)</w:t>
            </w:r>
          </w:p>
        </w:tc>
        <w:tc>
          <w:tcPr>
            <w:tcW w:w="0" w:type="auto"/>
            <w:vAlign w:val="center"/>
            <w:hideMark/>
          </w:tcPr>
          <w:p w:rsidR="009460D4" w:rsidRDefault="009460D4">
            <w:pPr>
              <w:pStyle w:val="NormalWeb"/>
            </w:pPr>
            <w:r>
              <w:t>Cones</w:t>
            </w:r>
          </w:p>
        </w:tc>
        <w:tc>
          <w:tcPr>
            <w:tcW w:w="0" w:type="auto"/>
            <w:vAlign w:val="center"/>
            <w:hideMark/>
          </w:tcPr>
          <w:p w:rsidR="009460D4" w:rsidRDefault="009460D4">
            <w:pPr>
              <w:pStyle w:val="NormalWeb"/>
            </w:pPr>
            <w:r>
              <w:t>Income (Bill. $)</w:t>
            </w:r>
          </w:p>
        </w:tc>
        <w:tc>
          <w:tcPr>
            <w:tcW w:w="0" w:type="auto"/>
            <w:vAlign w:val="center"/>
            <w:hideMark/>
          </w:tcPr>
          <w:p w:rsidR="009460D4" w:rsidRDefault="009460D4">
            <w:pPr>
              <w:pStyle w:val="NormalWeb"/>
            </w:pPr>
            <w:r>
              <w:t>Income (%)</w:t>
            </w:r>
          </w:p>
        </w:tc>
        <w:tc>
          <w:tcPr>
            <w:tcW w:w="0" w:type="auto"/>
            <w:vAlign w:val="center"/>
            <w:hideMark/>
          </w:tcPr>
          <w:p w:rsidR="009460D4" w:rsidRDefault="009460D4">
            <w:pPr>
              <w:pStyle w:val="NormalWeb"/>
            </w:pPr>
            <w:r>
              <w:t>Coins</w:t>
            </w:r>
          </w:p>
        </w:tc>
      </w:tr>
      <w:tr w:rsidR="009460D4" w:rsidTr="009460D4">
        <w:trPr>
          <w:tblCellSpacing w:w="15" w:type="dxa"/>
        </w:trPr>
        <w:tc>
          <w:tcPr>
            <w:tcW w:w="0" w:type="auto"/>
            <w:vAlign w:val="center"/>
            <w:hideMark/>
          </w:tcPr>
          <w:p w:rsidR="009460D4" w:rsidRDefault="009460D4">
            <w:pPr>
              <w:pStyle w:val="NormalWeb"/>
            </w:pPr>
            <w:r>
              <w:t>Europe with Russia</w:t>
            </w:r>
          </w:p>
        </w:tc>
        <w:tc>
          <w:tcPr>
            <w:tcW w:w="0" w:type="auto"/>
            <w:vAlign w:val="center"/>
            <w:hideMark/>
          </w:tcPr>
          <w:p w:rsidR="009460D4" w:rsidRDefault="009460D4">
            <w:pPr>
              <w:pStyle w:val="NormalWeb"/>
            </w:pPr>
            <w:r>
              <w:t>742.452.000</w:t>
            </w:r>
          </w:p>
        </w:tc>
        <w:tc>
          <w:tcPr>
            <w:tcW w:w="0" w:type="auto"/>
            <w:vAlign w:val="center"/>
            <w:hideMark/>
          </w:tcPr>
          <w:p w:rsidR="009460D4" w:rsidRDefault="009460D4">
            <w:pPr>
              <w:pStyle w:val="NormalWeb"/>
            </w:pPr>
            <w:r>
              <w:t>10,36</w:t>
            </w:r>
          </w:p>
        </w:tc>
        <w:tc>
          <w:tcPr>
            <w:tcW w:w="0" w:type="auto"/>
            <w:vAlign w:val="center"/>
            <w:hideMark/>
          </w:tcPr>
          <w:p w:rsidR="009460D4" w:rsidRDefault="009460D4">
            <w:pPr>
              <w:pStyle w:val="NormalWeb"/>
            </w:pPr>
            <w:r>
              <w:t>10</w:t>
            </w:r>
          </w:p>
        </w:tc>
        <w:tc>
          <w:tcPr>
            <w:tcW w:w="0" w:type="auto"/>
            <w:vAlign w:val="center"/>
            <w:hideMark/>
          </w:tcPr>
          <w:p w:rsidR="009460D4" w:rsidRDefault="009460D4">
            <w:pPr>
              <w:pStyle w:val="NormalWeb"/>
            </w:pPr>
            <w:r>
              <w:t>20.124,42</w:t>
            </w:r>
          </w:p>
        </w:tc>
        <w:tc>
          <w:tcPr>
            <w:tcW w:w="0" w:type="auto"/>
            <w:vAlign w:val="center"/>
            <w:hideMark/>
          </w:tcPr>
          <w:p w:rsidR="009460D4" w:rsidRDefault="009460D4">
            <w:pPr>
              <w:pStyle w:val="NormalWeb"/>
            </w:pPr>
            <w:r>
              <w:t>27,72</w:t>
            </w:r>
          </w:p>
        </w:tc>
        <w:tc>
          <w:tcPr>
            <w:tcW w:w="0" w:type="auto"/>
            <w:vAlign w:val="center"/>
            <w:hideMark/>
          </w:tcPr>
          <w:p w:rsidR="009460D4" w:rsidRDefault="009460D4">
            <w:pPr>
              <w:pStyle w:val="NormalWeb"/>
            </w:pPr>
            <w:r>
              <w:t>28</w:t>
            </w:r>
          </w:p>
        </w:tc>
      </w:tr>
      <w:tr w:rsidR="009460D4" w:rsidTr="009460D4">
        <w:trPr>
          <w:tblCellSpacing w:w="15" w:type="dxa"/>
        </w:trPr>
        <w:tc>
          <w:tcPr>
            <w:tcW w:w="0" w:type="auto"/>
            <w:vAlign w:val="center"/>
            <w:hideMark/>
          </w:tcPr>
          <w:p w:rsidR="009460D4" w:rsidRDefault="009460D4">
            <w:pPr>
              <w:pStyle w:val="NormalWeb"/>
            </w:pPr>
            <w:r>
              <w:t>Asia without Russia</w:t>
            </w:r>
          </w:p>
        </w:tc>
        <w:tc>
          <w:tcPr>
            <w:tcW w:w="0" w:type="auto"/>
            <w:vAlign w:val="center"/>
            <w:hideMark/>
          </w:tcPr>
          <w:p w:rsidR="009460D4" w:rsidRDefault="009460D4">
            <w:pPr>
              <w:pStyle w:val="NormalWeb"/>
            </w:pPr>
            <w:r>
              <w:t>4.298.732.000</w:t>
            </w:r>
          </w:p>
        </w:tc>
        <w:tc>
          <w:tcPr>
            <w:tcW w:w="0" w:type="auto"/>
            <w:vAlign w:val="center"/>
            <w:hideMark/>
          </w:tcPr>
          <w:p w:rsidR="009460D4" w:rsidRDefault="009460D4">
            <w:pPr>
              <w:pStyle w:val="NormalWeb"/>
            </w:pPr>
            <w:r>
              <w:t>60,02</w:t>
            </w:r>
          </w:p>
        </w:tc>
        <w:tc>
          <w:tcPr>
            <w:tcW w:w="0" w:type="auto"/>
            <w:vAlign w:val="center"/>
            <w:hideMark/>
          </w:tcPr>
          <w:p w:rsidR="009460D4" w:rsidRDefault="009460D4">
            <w:pPr>
              <w:pStyle w:val="NormalWeb"/>
            </w:pPr>
            <w:r>
              <w:t>60</w:t>
            </w:r>
          </w:p>
        </w:tc>
        <w:tc>
          <w:tcPr>
            <w:tcW w:w="0" w:type="auto"/>
            <w:vAlign w:val="center"/>
            <w:hideMark/>
          </w:tcPr>
          <w:p w:rsidR="009460D4" w:rsidRDefault="009460D4">
            <w:pPr>
              <w:pStyle w:val="NormalWeb"/>
            </w:pPr>
            <w:r>
              <w:t>24.812,79</w:t>
            </w:r>
          </w:p>
        </w:tc>
        <w:tc>
          <w:tcPr>
            <w:tcW w:w="0" w:type="auto"/>
            <w:vAlign w:val="center"/>
            <w:hideMark/>
          </w:tcPr>
          <w:p w:rsidR="009460D4" w:rsidRDefault="009460D4">
            <w:pPr>
              <w:pStyle w:val="NormalWeb"/>
            </w:pPr>
            <w:r>
              <w:t>34,18</w:t>
            </w:r>
          </w:p>
        </w:tc>
        <w:tc>
          <w:tcPr>
            <w:tcW w:w="0" w:type="auto"/>
            <w:vAlign w:val="center"/>
            <w:hideMark/>
          </w:tcPr>
          <w:p w:rsidR="009460D4" w:rsidRDefault="009460D4">
            <w:pPr>
              <w:pStyle w:val="NormalWeb"/>
            </w:pPr>
            <w:r>
              <w:t>34</w:t>
            </w:r>
          </w:p>
        </w:tc>
      </w:tr>
      <w:tr w:rsidR="009460D4" w:rsidTr="009460D4">
        <w:trPr>
          <w:tblCellSpacing w:w="15" w:type="dxa"/>
        </w:trPr>
        <w:tc>
          <w:tcPr>
            <w:tcW w:w="0" w:type="auto"/>
            <w:vAlign w:val="center"/>
            <w:hideMark/>
          </w:tcPr>
          <w:p w:rsidR="009460D4" w:rsidRDefault="009460D4">
            <w:pPr>
              <w:pStyle w:val="NormalWeb"/>
            </w:pPr>
            <w:r>
              <w:lastRenderedPageBreak/>
              <w:t>Russia</w:t>
            </w:r>
          </w:p>
        </w:tc>
        <w:tc>
          <w:tcPr>
            <w:tcW w:w="0" w:type="auto"/>
            <w:vAlign w:val="center"/>
            <w:hideMark/>
          </w:tcPr>
          <w:p w:rsidR="009460D4" w:rsidRDefault="009460D4">
            <w:pPr>
              <w:pStyle w:val="NormalWeb"/>
            </w:pPr>
            <w:r>
              <w:t>142.843.000</w:t>
            </w:r>
          </w:p>
        </w:tc>
        <w:tc>
          <w:tcPr>
            <w:tcW w:w="0" w:type="auto"/>
            <w:vAlign w:val="center"/>
            <w:hideMark/>
          </w:tcPr>
          <w:p w:rsidR="009460D4" w:rsidRDefault="009460D4">
            <w:pPr>
              <w:pStyle w:val="NormalWeb"/>
            </w:pPr>
            <w:r>
              <w:t>1,99</w:t>
            </w:r>
          </w:p>
        </w:tc>
        <w:tc>
          <w:tcPr>
            <w:tcW w:w="0" w:type="auto"/>
            <w:vAlign w:val="center"/>
            <w:hideMark/>
          </w:tcPr>
          <w:p w:rsidR="009460D4" w:rsidRDefault="009460D4">
            <w:pPr>
              <w:pStyle w:val="NormalWeb"/>
            </w:pPr>
            <w:r>
              <w:t>2</w:t>
            </w:r>
          </w:p>
        </w:tc>
        <w:tc>
          <w:tcPr>
            <w:tcW w:w="0" w:type="auto"/>
            <w:vAlign w:val="center"/>
            <w:hideMark/>
          </w:tcPr>
          <w:p w:rsidR="009460D4" w:rsidRDefault="009460D4">
            <w:pPr>
              <w:pStyle w:val="NormalWeb"/>
            </w:pPr>
            <w:r>
              <w:t>1.963,01</w:t>
            </w:r>
          </w:p>
        </w:tc>
        <w:tc>
          <w:tcPr>
            <w:tcW w:w="0" w:type="auto"/>
            <w:vAlign w:val="center"/>
            <w:hideMark/>
          </w:tcPr>
          <w:p w:rsidR="009460D4" w:rsidRDefault="009460D4">
            <w:pPr>
              <w:pStyle w:val="NormalWeb"/>
            </w:pPr>
            <w:r>
              <w:t>2,70</w:t>
            </w:r>
          </w:p>
        </w:tc>
        <w:tc>
          <w:tcPr>
            <w:tcW w:w="0" w:type="auto"/>
            <w:vAlign w:val="center"/>
            <w:hideMark/>
          </w:tcPr>
          <w:p w:rsidR="009460D4" w:rsidRDefault="009460D4">
            <w:pPr>
              <w:pStyle w:val="NormalWeb"/>
            </w:pPr>
            <w:r>
              <w:t>3</w:t>
            </w:r>
          </w:p>
        </w:tc>
      </w:tr>
      <w:tr w:rsidR="009460D4" w:rsidTr="009460D4">
        <w:trPr>
          <w:tblCellSpacing w:w="15" w:type="dxa"/>
        </w:trPr>
        <w:tc>
          <w:tcPr>
            <w:tcW w:w="0" w:type="auto"/>
            <w:vAlign w:val="center"/>
            <w:hideMark/>
          </w:tcPr>
          <w:p w:rsidR="009460D4" w:rsidRDefault="009460D4">
            <w:pPr>
              <w:pStyle w:val="NormalWeb"/>
            </w:pPr>
            <w:r>
              <w:t>Australia and Oceania</w:t>
            </w:r>
          </w:p>
        </w:tc>
        <w:tc>
          <w:tcPr>
            <w:tcW w:w="0" w:type="auto"/>
            <w:vAlign w:val="center"/>
            <w:hideMark/>
          </w:tcPr>
          <w:p w:rsidR="009460D4" w:rsidRDefault="009460D4">
            <w:pPr>
              <w:pStyle w:val="NormalWeb"/>
            </w:pPr>
            <w:r>
              <w:t>38.304.000</w:t>
            </w:r>
          </w:p>
        </w:tc>
        <w:tc>
          <w:tcPr>
            <w:tcW w:w="0" w:type="auto"/>
            <w:vAlign w:val="center"/>
            <w:hideMark/>
          </w:tcPr>
          <w:p w:rsidR="009460D4" w:rsidRDefault="009460D4">
            <w:pPr>
              <w:pStyle w:val="NormalWeb"/>
            </w:pPr>
            <w:r>
              <w:t>0,53</w:t>
            </w:r>
          </w:p>
        </w:tc>
        <w:tc>
          <w:tcPr>
            <w:tcW w:w="0" w:type="auto"/>
            <w:vAlign w:val="center"/>
            <w:hideMark/>
          </w:tcPr>
          <w:p w:rsidR="009460D4" w:rsidRDefault="009460D4">
            <w:pPr>
              <w:pStyle w:val="NormalWeb"/>
            </w:pPr>
            <w:r>
              <w:t>1</w:t>
            </w:r>
          </w:p>
        </w:tc>
        <w:tc>
          <w:tcPr>
            <w:tcW w:w="0" w:type="auto"/>
            <w:vAlign w:val="center"/>
            <w:hideMark/>
          </w:tcPr>
          <w:p w:rsidR="009460D4" w:rsidRDefault="009460D4">
            <w:pPr>
              <w:pStyle w:val="NormalWeb"/>
            </w:pPr>
            <w:r>
              <w:t>1.724,53</w:t>
            </w:r>
          </w:p>
        </w:tc>
        <w:tc>
          <w:tcPr>
            <w:tcW w:w="0" w:type="auto"/>
            <w:vAlign w:val="center"/>
            <w:hideMark/>
          </w:tcPr>
          <w:p w:rsidR="009460D4" w:rsidRDefault="009460D4">
            <w:pPr>
              <w:pStyle w:val="NormalWeb"/>
            </w:pPr>
            <w:r>
              <w:t>2,37</w:t>
            </w:r>
          </w:p>
        </w:tc>
        <w:tc>
          <w:tcPr>
            <w:tcW w:w="0" w:type="auto"/>
            <w:vAlign w:val="center"/>
            <w:hideMark/>
          </w:tcPr>
          <w:p w:rsidR="009460D4" w:rsidRDefault="009460D4">
            <w:pPr>
              <w:pStyle w:val="NormalWeb"/>
            </w:pPr>
            <w:r>
              <w:t>2</w:t>
            </w:r>
          </w:p>
        </w:tc>
      </w:tr>
      <w:tr w:rsidR="009460D4" w:rsidTr="009460D4">
        <w:trPr>
          <w:tblCellSpacing w:w="15" w:type="dxa"/>
        </w:trPr>
        <w:tc>
          <w:tcPr>
            <w:tcW w:w="0" w:type="auto"/>
            <w:vAlign w:val="center"/>
            <w:hideMark/>
          </w:tcPr>
          <w:p w:rsidR="009460D4" w:rsidRDefault="009460D4">
            <w:pPr>
              <w:pStyle w:val="NormalWeb"/>
            </w:pPr>
            <w:r>
              <w:t>Latin America and the Caribbean</w:t>
            </w:r>
          </w:p>
        </w:tc>
        <w:tc>
          <w:tcPr>
            <w:tcW w:w="0" w:type="auto"/>
            <w:vAlign w:val="center"/>
            <w:hideMark/>
          </w:tcPr>
          <w:p w:rsidR="009460D4" w:rsidRDefault="009460D4">
            <w:pPr>
              <w:pStyle w:val="NormalWeb"/>
            </w:pPr>
            <w:r>
              <w:t>551.177.000</w:t>
            </w:r>
          </w:p>
        </w:tc>
        <w:tc>
          <w:tcPr>
            <w:tcW w:w="0" w:type="auto"/>
            <w:vAlign w:val="center"/>
            <w:hideMark/>
          </w:tcPr>
          <w:p w:rsidR="009460D4" w:rsidRDefault="009460D4">
            <w:pPr>
              <w:pStyle w:val="NormalWeb"/>
            </w:pPr>
            <w:r>
              <w:t>7,69</w:t>
            </w:r>
          </w:p>
        </w:tc>
        <w:tc>
          <w:tcPr>
            <w:tcW w:w="0" w:type="auto"/>
            <w:vAlign w:val="center"/>
            <w:hideMark/>
          </w:tcPr>
          <w:p w:rsidR="009460D4" w:rsidRDefault="009460D4">
            <w:pPr>
              <w:pStyle w:val="NormalWeb"/>
            </w:pPr>
            <w:r>
              <w:t>9</w:t>
            </w:r>
          </w:p>
        </w:tc>
        <w:tc>
          <w:tcPr>
            <w:tcW w:w="0" w:type="auto"/>
            <w:vAlign w:val="center"/>
            <w:hideMark/>
          </w:tcPr>
          <w:p w:rsidR="009460D4" w:rsidRDefault="009460D4">
            <w:pPr>
              <w:pStyle w:val="NormalWeb"/>
            </w:pPr>
            <w:r>
              <w:t>5.663,87</w:t>
            </w:r>
          </w:p>
        </w:tc>
        <w:tc>
          <w:tcPr>
            <w:tcW w:w="0" w:type="auto"/>
            <w:vAlign w:val="center"/>
            <w:hideMark/>
          </w:tcPr>
          <w:p w:rsidR="009460D4" w:rsidRDefault="009460D4">
            <w:pPr>
              <w:pStyle w:val="NormalWeb"/>
            </w:pPr>
            <w:r>
              <w:t>7,80</w:t>
            </w:r>
          </w:p>
        </w:tc>
        <w:tc>
          <w:tcPr>
            <w:tcW w:w="0" w:type="auto"/>
            <w:vAlign w:val="center"/>
            <w:hideMark/>
          </w:tcPr>
          <w:p w:rsidR="009460D4" w:rsidRDefault="009460D4">
            <w:pPr>
              <w:pStyle w:val="NormalWeb"/>
            </w:pPr>
            <w:r>
              <w:t>8</w:t>
            </w:r>
          </w:p>
        </w:tc>
      </w:tr>
      <w:tr w:rsidR="009460D4" w:rsidTr="009460D4">
        <w:trPr>
          <w:tblCellSpacing w:w="15" w:type="dxa"/>
        </w:trPr>
        <w:tc>
          <w:tcPr>
            <w:tcW w:w="0" w:type="auto"/>
            <w:vAlign w:val="center"/>
            <w:hideMark/>
          </w:tcPr>
          <w:p w:rsidR="009460D4" w:rsidRDefault="009460D4">
            <w:pPr>
              <w:pStyle w:val="NormalWeb"/>
            </w:pPr>
            <w:r>
              <w:t>Africa</w:t>
            </w:r>
          </w:p>
        </w:tc>
        <w:tc>
          <w:tcPr>
            <w:tcW w:w="0" w:type="auto"/>
            <w:vAlign w:val="center"/>
            <w:hideMark/>
          </w:tcPr>
          <w:p w:rsidR="009460D4" w:rsidRDefault="009460D4">
            <w:pPr>
              <w:pStyle w:val="NormalWeb"/>
            </w:pPr>
            <w:r>
              <w:t>1.110.635.000</w:t>
            </w:r>
          </w:p>
        </w:tc>
        <w:tc>
          <w:tcPr>
            <w:tcW w:w="0" w:type="auto"/>
            <w:vAlign w:val="center"/>
            <w:hideMark/>
          </w:tcPr>
          <w:p w:rsidR="009460D4" w:rsidRDefault="009460D4">
            <w:pPr>
              <w:pStyle w:val="NormalWeb"/>
            </w:pPr>
            <w:r>
              <w:t>15,51</w:t>
            </w:r>
          </w:p>
        </w:tc>
        <w:tc>
          <w:tcPr>
            <w:tcW w:w="0" w:type="auto"/>
            <w:vAlign w:val="center"/>
            <w:hideMark/>
          </w:tcPr>
          <w:p w:rsidR="009460D4" w:rsidRDefault="009460D4">
            <w:pPr>
              <w:pStyle w:val="NormalWeb"/>
            </w:pPr>
            <w:r>
              <w:t>15</w:t>
            </w:r>
          </w:p>
        </w:tc>
        <w:tc>
          <w:tcPr>
            <w:tcW w:w="0" w:type="auto"/>
            <w:vAlign w:val="center"/>
            <w:hideMark/>
          </w:tcPr>
          <w:p w:rsidR="009460D4" w:rsidRDefault="009460D4">
            <w:pPr>
              <w:pStyle w:val="NormalWeb"/>
            </w:pPr>
            <w:r>
              <w:t>1.952,48</w:t>
            </w:r>
          </w:p>
        </w:tc>
        <w:tc>
          <w:tcPr>
            <w:tcW w:w="0" w:type="auto"/>
            <w:vAlign w:val="center"/>
            <w:hideMark/>
          </w:tcPr>
          <w:p w:rsidR="009460D4" w:rsidRDefault="009460D4">
            <w:pPr>
              <w:pStyle w:val="NormalWeb"/>
            </w:pPr>
            <w:r>
              <w:t>2,69</w:t>
            </w:r>
          </w:p>
        </w:tc>
        <w:tc>
          <w:tcPr>
            <w:tcW w:w="0" w:type="auto"/>
            <w:vAlign w:val="center"/>
            <w:hideMark/>
          </w:tcPr>
          <w:p w:rsidR="009460D4" w:rsidRDefault="009460D4">
            <w:pPr>
              <w:pStyle w:val="NormalWeb"/>
            </w:pPr>
            <w:r>
              <w:t>3</w:t>
            </w:r>
          </w:p>
        </w:tc>
      </w:tr>
      <w:tr w:rsidR="009460D4" w:rsidTr="009460D4">
        <w:trPr>
          <w:tblCellSpacing w:w="15" w:type="dxa"/>
        </w:trPr>
        <w:tc>
          <w:tcPr>
            <w:tcW w:w="0" w:type="auto"/>
            <w:vAlign w:val="center"/>
            <w:hideMark/>
          </w:tcPr>
          <w:p w:rsidR="009460D4" w:rsidRDefault="009460D4">
            <w:pPr>
              <w:pStyle w:val="NormalWeb"/>
            </w:pPr>
            <w:r>
              <w:t>North America</w:t>
            </w:r>
          </w:p>
        </w:tc>
        <w:tc>
          <w:tcPr>
            <w:tcW w:w="0" w:type="auto"/>
            <w:vAlign w:val="center"/>
            <w:hideMark/>
          </w:tcPr>
          <w:p w:rsidR="009460D4" w:rsidRDefault="009460D4">
            <w:pPr>
              <w:pStyle w:val="NormalWeb"/>
            </w:pPr>
            <w:r>
              <w:t>335.361.000</w:t>
            </w:r>
          </w:p>
        </w:tc>
        <w:tc>
          <w:tcPr>
            <w:tcW w:w="0" w:type="auto"/>
            <w:vAlign w:val="center"/>
            <w:hideMark/>
          </w:tcPr>
          <w:p w:rsidR="009460D4" w:rsidRDefault="009460D4">
            <w:pPr>
              <w:pStyle w:val="NormalWeb"/>
            </w:pPr>
            <w:r>
              <w:t>4,68</w:t>
            </w:r>
          </w:p>
        </w:tc>
        <w:tc>
          <w:tcPr>
            <w:tcW w:w="0" w:type="auto"/>
            <w:vAlign w:val="center"/>
            <w:hideMark/>
          </w:tcPr>
          <w:p w:rsidR="009460D4" w:rsidRDefault="009460D4">
            <w:pPr>
              <w:pStyle w:val="NormalWeb"/>
            </w:pPr>
            <w:r>
              <w:t>5</w:t>
            </w:r>
          </w:p>
        </w:tc>
        <w:tc>
          <w:tcPr>
            <w:tcW w:w="0" w:type="auto"/>
            <w:vAlign w:val="center"/>
            <w:hideMark/>
          </w:tcPr>
          <w:p w:rsidR="009460D4" w:rsidRDefault="009460D4">
            <w:pPr>
              <w:pStyle w:val="NormalWeb"/>
            </w:pPr>
            <w:r>
              <w:t>18.312,46</w:t>
            </w:r>
          </w:p>
        </w:tc>
        <w:tc>
          <w:tcPr>
            <w:tcW w:w="0" w:type="auto"/>
            <w:vAlign w:val="center"/>
            <w:hideMark/>
          </w:tcPr>
          <w:p w:rsidR="009460D4" w:rsidRDefault="009460D4">
            <w:pPr>
              <w:pStyle w:val="NormalWeb"/>
            </w:pPr>
            <w:r>
              <w:t>25,22</w:t>
            </w:r>
          </w:p>
        </w:tc>
        <w:tc>
          <w:tcPr>
            <w:tcW w:w="0" w:type="auto"/>
            <w:vAlign w:val="center"/>
            <w:hideMark/>
          </w:tcPr>
          <w:p w:rsidR="009460D4" w:rsidRDefault="009460D4">
            <w:pPr>
              <w:pStyle w:val="NormalWeb"/>
            </w:pPr>
            <w:r>
              <w:t>25</w:t>
            </w:r>
          </w:p>
        </w:tc>
      </w:tr>
      <w:tr w:rsidR="009460D4" w:rsidTr="009460D4">
        <w:trPr>
          <w:tblCellSpacing w:w="15" w:type="dxa"/>
        </w:trPr>
        <w:tc>
          <w:tcPr>
            <w:tcW w:w="0" w:type="auto"/>
            <w:vAlign w:val="center"/>
            <w:hideMark/>
          </w:tcPr>
          <w:p w:rsidR="009460D4" w:rsidRDefault="009460D4">
            <w:pPr>
              <w:pStyle w:val="NormalWeb"/>
            </w:pPr>
            <w:r>
              <w:t>Total</w:t>
            </w:r>
          </w:p>
        </w:tc>
        <w:tc>
          <w:tcPr>
            <w:tcW w:w="0" w:type="auto"/>
            <w:vAlign w:val="center"/>
            <w:hideMark/>
          </w:tcPr>
          <w:p w:rsidR="009460D4" w:rsidRDefault="009460D4">
            <w:pPr>
              <w:pStyle w:val="NormalWeb"/>
            </w:pPr>
            <w:r>
              <w:t>7.162.119.000</w:t>
            </w:r>
          </w:p>
        </w:tc>
        <w:tc>
          <w:tcPr>
            <w:tcW w:w="0" w:type="auto"/>
            <w:vAlign w:val="center"/>
            <w:hideMark/>
          </w:tcPr>
          <w:p w:rsidR="009460D4" w:rsidRDefault="009460D4">
            <w:pPr>
              <w:pStyle w:val="NormalWeb"/>
            </w:pPr>
            <w:r>
              <w:t>100,00</w:t>
            </w:r>
          </w:p>
        </w:tc>
        <w:tc>
          <w:tcPr>
            <w:tcW w:w="0" w:type="auto"/>
            <w:vAlign w:val="center"/>
            <w:hideMark/>
          </w:tcPr>
          <w:p w:rsidR="009460D4" w:rsidRDefault="009460D4">
            <w:pPr>
              <w:pStyle w:val="NormalWeb"/>
            </w:pPr>
            <w:r>
              <w:t>100</w:t>
            </w:r>
          </w:p>
        </w:tc>
        <w:tc>
          <w:tcPr>
            <w:tcW w:w="0" w:type="auto"/>
            <w:vAlign w:val="center"/>
            <w:hideMark/>
          </w:tcPr>
          <w:p w:rsidR="009460D4" w:rsidRDefault="009460D4">
            <w:pPr>
              <w:pStyle w:val="NormalWeb"/>
            </w:pPr>
            <w:r>
              <w:t>72.590,54</w:t>
            </w:r>
          </w:p>
        </w:tc>
        <w:tc>
          <w:tcPr>
            <w:tcW w:w="0" w:type="auto"/>
            <w:vAlign w:val="center"/>
            <w:hideMark/>
          </w:tcPr>
          <w:p w:rsidR="009460D4" w:rsidRDefault="009460D4">
            <w:pPr>
              <w:pStyle w:val="NormalWeb"/>
            </w:pPr>
            <w:r>
              <w:t>100,00</w:t>
            </w:r>
          </w:p>
        </w:tc>
        <w:tc>
          <w:tcPr>
            <w:tcW w:w="0" w:type="auto"/>
            <w:vAlign w:val="center"/>
            <w:hideMark/>
          </w:tcPr>
          <w:p w:rsidR="009460D4" w:rsidRDefault="009460D4">
            <w:pPr>
              <w:pStyle w:val="NormalWeb"/>
            </w:pPr>
            <w:r>
              <w:t>100</w:t>
            </w:r>
          </w:p>
        </w:tc>
      </w:tr>
    </w:tbl>
    <w:p w:rsidR="009460D4" w:rsidRDefault="009460D4" w:rsidP="009460D4">
      <w:pPr>
        <w:pStyle w:val="NormalWeb"/>
      </w:pPr>
      <w:r>
        <w:rPr>
          <w:rStyle w:val="Emphasis"/>
        </w:rPr>
        <w:t xml:space="preserve">Source: </w:t>
      </w:r>
      <w:hyperlink r:id="rId11" w:tgtFrame="_blank" w:history="1">
        <w:r>
          <w:rPr>
            <w:rStyle w:val="Hyperlink"/>
            <w:i/>
            <w:iCs/>
          </w:rPr>
          <w:t>UN population World chart</w:t>
        </w:r>
      </w:hyperlink>
    </w:p>
    <w:p w:rsidR="009460D4" w:rsidRDefault="009460D4" w:rsidP="009460D4">
      <w:pPr>
        <w:pStyle w:val="NormalWeb"/>
      </w:pPr>
      <w:r>
        <w:rPr>
          <w:rStyle w:val="Strong"/>
        </w:rPr>
        <w:t>CO</w:t>
      </w:r>
      <w:r>
        <w:rPr>
          <w:rStyle w:val="Strong"/>
          <w:vertAlign w:val="subscript"/>
        </w:rPr>
        <w:t>2</w:t>
      </w:r>
      <w:r>
        <w:rPr>
          <w:rStyle w:val="Strong"/>
        </w:rPr>
        <w:t xml:space="preserve"> emissions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1"/>
        <w:gridCol w:w="1515"/>
        <w:gridCol w:w="740"/>
        <w:gridCol w:w="1755"/>
        <w:gridCol w:w="1356"/>
        <w:gridCol w:w="740"/>
        <w:gridCol w:w="455"/>
      </w:tblGrid>
      <w:tr w:rsidR="009460D4" w:rsidTr="009460D4">
        <w:trPr>
          <w:gridAfter w:val="1"/>
          <w:tblCellSpacing w:w="15" w:type="dxa"/>
        </w:trPr>
        <w:tc>
          <w:tcPr>
            <w:tcW w:w="0" w:type="auto"/>
            <w:vAlign w:val="center"/>
            <w:hideMark/>
          </w:tcPr>
          <w:p w:rsidR="009460D4" w:rsidRDefault="009460D4">
            <w:pPr>
              <w:pStyle w:val="NormalWeb"/>
            </w:pPr>
            <w:r>
              <w:t>Population</w:t>
            </w:r>
          </w:p>
        </w:tc>
        <w:tc>
          <w:tcPr>
            <w:tcW w:w="0" w:type="auto"/>
            <w:vAlign w:val="center"/>
            <w:hideMark/>
          </w:tcPr>
          <w:p w:rsidR="009460D4" w:rsidRDefault="009460D4">
            <w:pPr>
              <w:pStyle w:val="NormalWeb"/>
            </w:pPr>
            <w:r>
              <w:t>Population (%)</w:t>
            </w:r>
          </w:p>
        </w:tc>
        <w:tc>
          <w:tcPr>
            <w:tcW w:w="0" w:type="auto"/>
            <w:vAlign w:val="center"/>
            <w:hideMark/>
          </w:tcPr>
          <w:p w:rsidR="009460D4" w:rsidRDefault="009460D4">
            <w:pPr>
              <w:pStyle w:val="NormalWeb"/>
            </w:pPr>
            <w:r>
              <w:t>Cones</w:t>
            </w:r>
          </w:p>
        </w:tc>
        <w:tc>
          <w:tcPr>
            <w:tcW w:w="0" w:type="auto"/>
            <w:vAlign w:val="center"/>
            <w:hideMark/>
          </w:tcPr>
          <w:p w:rsidR="009460D4" w:rsidRDefault="009460D4">
            <w:pPr>
              <w:pStyle w:val="NormalWeb"/>
            </w:pPr>
            <w:r>
              <w:rPr>
                <w:rStyle w:val="Strong"/>
              </w:rPr>
              <w:t>CO</w:t>
            </w:r>
            <w:r>
              <w:rPr>
                <w:rStyle w:val="Strong"/>
                <w:vertAlign w:val="subscript"/>
              </w:rPr>
              <w:t>2</w:t>
            </w:r>
          </w:p>
          <w:p w:rsidR="009460D4" w:rsidRDefault="009460D4">
            <w:pPr>
              <w:pStyle w:val="NormalWeb"/>
            </w:pPr>
            <w:r>
              <w:t>Emissions ( Mt</w:t>
            </w:r>
            <w:r>
              <w:rPr>
                <w:rStyle w:val="Strong"/>
              </w:rPr>
              <w:t>CO</w:t>
            </w:r>
            <w:r>
              <w:rPr>
                <w:rStyle w:val="Strong"/>
                <w:vertAlign w:val="subscript"/>
              </w:rPr>
              <w:t>2</w:t>
            </w:r>
            <w:r>
              <w:t>)</w:t>
            </w:r>
          </w:p>
        </w:tc>
        <w:tc>
          <w:tcPr>
            <w:tcW w:w="0" w:type="auto"/>
            <w:vAlign w:val="center"/>
            <w:hideMark/>
          </w:tcPr>
          <w:p w:rsidR="009460D4" w:rsidRDefault="009460D4">
            <w:pPr>
              <w:pStyle w:val="NormalWeb"/>
            </w:pPr>
            <w:r>
              <w:t>Emissions (%)</w:t>
            </w:r>
          </w:p>
        </w:tc>
        <w:tc>
          <w:tcPr>
            <w:tcW w:w="0" w:type="auto"/>
            <w:vAlign w:val="center"/>
            <w:hideMark/>
          </w:tcPr>
          <w:p w:rsidR="009460D4" w:rsidRDefault="009460D4">
            <w:pPr>
              <w:pStyle w:val="NormalWeb"/>
            </w:pPr>
            <w:r>
              <w:t>Cones</w:t>
            </w:r>
          </w:p>
        </w:tc>
      </w:tr>
      <w:tr w:rsidR="009460D4" w:rsidTr="009460D4">
        <w:trPr>
          <w:tblCellSpacing w:w="15" w:type="dxa"/>
        </w:trPr>
        <w:tc>
          <w:tcPr>
            <w:tcW w:w="0" w:type="auto"/>
            <w:vAlign w:val="center"/>
            <w:hideMark/>
          </w:tcPr>
          <w:p w:rsidR="009460D4" w:rsidRDefault="009460D4">
            <w:pPr>
              <w:pStyle w:val="NormalWeb"/>
            </w:pPr>
            <w:r>
              <w:t>Europe with Russia</w:t>
            </w:r>
          </w:p>
        </w:tc>
        <w:tc>
          <w:tcPr>
            <w:tcW w:w="0" w:type="auto"/>
            <w:vAlign w:val="center"/>
            <w:hideMark/>
          </w:tcPr>
          <w:p w:rsidR="009460D4" w:rsidRDefault="009460D4">
            <w:pPr>
              <w:pStyle w:val="NormalWeb"/>
            </w:pPr>
            <w:r>
              <w:t>742.452.000</w:t>
            </w:r>
          </w:p>
        </w:tc>
        <w:tc>
          <w:tcPr>
            <w:tcW w:w="0" w:type="auto"/>
            <w:vAlign w:val="center"/>
            <w:hideMark/>
          </w:tcPr>
          <w:p w:rsidR="009460D4" w:rsidRDefault="009460D4">
            <w:pPr>
              <w:pStyle w:val="NormalWeb"/>
            </w:pPr>
            <w:r>
              <w:t>10,36</w:t>
            </w:r>
          </w:p>
        </w:tc>
        <w:tc>
          <w:tcPr>
            <w:tcW w:w="0" w:type="auto"/>
            <w:vAlign w:val="center"/>
            <w:hideMark/>
          </w:tcPr>
          <w:p w:rsidR="009460D4" w:rsidRDefault="009460D4">
            <w:pPr>
              <w:pStyle w:val="NormalWeb"/>
            </w:pPr>
            <w:r>
              <w:t>10</w:t>
            </w:r>
          </w:p>
        </w:tc>
        <w:tc>
          <w:tcPr>
            <w:tcW w:w="0" w:type="auto"/>
            <w:vAlign w:val="center"/>
            <w:hideMark/>
          </w:tcPr>
          <w:p w:rsidR="009460D4" w:rsidRDefault="009460D4">
            <w:pPr>
              <w:pStyle w:val="NormalWeb"/>
            </w:pPr>
            <w:r>
              <w:t>5.862</w:t>
            </w:r>
          </w:p>
        </w:tc>
        <w:tc>
          <w:tcPr>
            <w:tcW w:w="0" w:type="auto"/>
            <w:vAlign w:val="center"/>
            <w:hideMark/>
          </w:tcPr>
          <w:p w:rsidR="009460D4" w:rsidRDefault="009460D4">
            <w:pPr>
              <w:pStyle w:val="NormalWeb"/>
            </w:pPr>
            <w:r>
              <w:t>17,2</w:t>
            </w:r>
          </w:p>
        </w:tc>
        <w:tc>
          <w:tcPr>
            <w:tcW w:w="0" w:type="auto"/>
            <w:vAlign w:val="center"/>
            <w:hideMark/>
          </w:tcPr>
          <w:p w:rsidR="009460D4" w:rsidRDefault="009460D4">
            <w:pPr>
              <w:pStyle w:val="NormalWeb"/>
            </w:pPr>
            <w:r>
              <w:t>17</w:t>
            </w:r>
          </w:p>
        </w:tc>
      </w:tr>
      <w:tr w:rsidR="009460D4" w:rsidTr="009460D4">
        <w:trPr>
          <w:tblCellSpacing w:w="15" w:type="dxa"/>
        </w:trPr>
        <w:tc>
          <w:tcPr>
            <w:tcW w:w="0" w:type="auto"/>
            <w:vAlign w:val="center"/>
            <w:hideMark/>
          </w:tcPr>
          <w:p w:rsidR="009460D4" w:rsidRDefault="009460D4">
            <w:pPr>
              <w:pStyle w:val="NormalWeb"/>
            </w:pPr>
            <w:r>
              <w:t>Asia without Russia</w:t>
            </w:r>
          </w:p>
        </w:tc>
        <w:tc>
          <w:tcPr>
            <w:tcW w:w="0" w:type="auto"/>
            <w:vAlign w:val="center"/>
            <w:hideMark/>
          </w:tcPr>
          <w:p w:rsidR="009460D4" w:rsidRDefault="009460D4">
            <w:pPr>
              <w:pStyle w:val="NormalWeb"/>
            </w:pPr>
            <w:r>
              <w:t>4.298.732.000</w:t>
            </w:r>
          </w:p>
        </w:tc>
        <w:tc>
          <w:tcPr>
            <w:tcW w:w="0" w:type="auto"/>
            <w:vAlign w:val="center"/>
            <w:hideMark/>
          </w:tcPr>
          <w:p w:rsidR="009460D4" w:rsidRDefault="009460D4">
            <w:pPr>
              <w:pStyle w:val="NormalWeb"/>
            </w:pPr>
            <w:r>
              <w:t>60,02</w:t>
            </w:r>
          </w:p>
        </w:tc>
        <w:tc>
          <w:tcPr>
            <w:tcW w:w="0" w:type="auto"/>
            <w:vAlign w:val="center"/>
            <w:hideMark/>
          </w:tcPr>
          <w:p w:rsidR="009460D4" w:rsidRDefault="009460D4">
            <w:pPr>
              <w:pStyle w:val="NormalWeb"/>
            </w:pPr>
            <w:r>
              <w:t>60</w:t>
            </w:r>
          </w:p>
        </w:tc>
        <w:tc>
          <w:tcPr>
            <w:tcW w:w="0" w:type="auto"/>
            <w:vAlign w:val="center"/>
            <w:hideMark/>
          </w:tcPr>
          <w:p w:rsidR="009460D4" w:rsidRDefault="009460D4">
            <w:pPr>
              <w:pStyle w:val="NormalWeb"/>
            </w:pPr>
            <w:r>
              <w:t>19.039</w:t>
            </w:r>
          </w:p>
        </w:tc>
        <w:tc>
          <w:tcPr>
            <w:tcW w:w="0" w:type="auto"/>
            <w:vAlign w:val="center"/>
            <w:hideMark/>
          </w:tcPr>
          <w:p w:rsidR="009460D4" w:rsidRDefault="009460D4">
            <w:pPr>
              <w:pStyle w:val="NormalWeb"/>
            </w:pPr>
            <w:r>
              <w:t>55,8</w:t>
            </w:r>
          </w:p>
        </w:tc>
        <w:tc>
          <w:tcPr>
            <w:tcW w:w="0" w:type="auto"/>
            <w:vAlign w:val="center"/>
            <w:hideMark/>
          </w:tcPr>
          <w:p w:rsidR="009460D4" w:rsidRDefault="009460D4">
            <w:pPr>
              <w:pStyle w:val="NormalWeb"/>
            </w:pPr>
            <w:r>
              <w:t>56</w:t>
            </w:r>
          </w:p>
        </w:tc>
      </w:tr>
      <w:tr w:rsidR="009460D4" w:rsidTr="009460D4">
        <w:trPr>
          <w:tblCellSpacing w:w="15" w:type="dxa"/>
        </w:trPr>
        <w:tc>
          <w:tcPr>
            <w:tcW w:w="0" w:type="auto"/>
            <w:vAlign w:val="center"/>
            <w:hideMark/>
          </w:tcPr>
          <w:p w:rsidR="009460D4" w:rsidRDefault="009460D4">
            <w:pPr>
              <w:pStyle w:val="NormalWeb"/>
            </w:pPr>
            <w:r>
              <w:t>Russia</w:t>
            </w:r>
          </w:p>
        </w:tc>
        <w:tc>
          <w:tcPr>
            <w:tcW w:w="0" w:type="auto"/>
            <w:vAlign w:val="center"/>
            <w:hideMark/>
          </w:tcPr>
          <w:p w:rsidR="009460D4" w:rsidRDefault="009460D4">
            <w:pPr>
              <w:pStyle w:val="NormalWeb"/>
            </w:pPr>
            <w:r>
              <w:t>142.843.000</w:t>
            </w:r>
          </w:p>
        </w:tc>
        <w:tc>
          <w:tcPr>
            <w:tcW w:w="0" w:type="auto"/>
            <w:vAlign w:val="center"/>
            <w:hideMark/>
          </w:tcPr>
          <w:p w:rsidR="009460D4" w:rsidRDefault="009460D4">
            <w:pPr>
              <w:pStyle w:val="NormalWeb"/>
            </w:pPr>
            <w:r>
              <w:t>1,99</w:t>
            </w:r>
          </w:p>
        </w:tc>
        <w:tc>
          <w:tcPr>
            <w:tcW w:w="0" w:type="auto"/>
            <w:vAlign w:val="center"/>
            <w:hideMark/>
          </w:tcPr>
          <w:p w:rsidR="009460D4" w:rsidRDefault="009460D4">
            <w:pPr>
              <w:pStyle w:val="NormalWeb"/>
            </w:pPr>
            <w:r>
              <w:t>2</w:t>
            </w:r>
          </w:p>
        </w:tc>
        <w:tc>
          <w:tcPr>
            <w:tcW w:w="0" w:type="auto"/>
            <w:vAlign w:val="center"/>
            <w:hideMark/>
          </w:tcPr>
          <w:p w:rsidR="009460D4" w:rsidRDefault="009460D4">
            <w:pPr>
              <w:pStyle w:val="NormalWeb"/>
            </w:pPr>
            <w:r>
              <w:t>1.812</w:t>
            </w:r>
          </w:p>
        </w:tc>
        <w:tc>
          <w:tcPr>
            <w:tcW w:w="0" w:type="auto"/>
            <w:vAlign w:val="center"/>
            <w:hideMark/>
          </w:tcPr>
          <w:p w:rsidR="009460D4" w:rsidRDefault="009460D4">
            <w:pPr>
              <w:pStyle w:val="NormalWeb"/>
            </w:pPr>
            <w:r>
              <w:t>5,3</w:t>
            </w:r>
          </w:p>
        </w:tc>
        <w:tc>
          <w:tcPr>
            <w:tcW w:w="0" w:type="auto"/>
            <w:vAlign w:val="center"/>
            <w:hideMark/>
          </w:tcPr>
          <w:p w:rsidR="009460D4" w:rsidRDefault="009460D4">
            <w:pPr>
              <w:pStyle w:val="NormalWeb"/>
            </w:pPr>
            <w:r>
              <w:t>5</w:t>
            </w:r>
          </w:p>
        </w:tc>
      </w:tr>
      <w:tr w:rsidR="009460D4" w:rsidTr="009460D4">
        <w:trPr>
          <w:tblCellSpacing w:w="15" w:type="dxa"/>
        </w:trPr>
        <w:tc>
          <w:tcPr>
            <w:tcW w:w="0" w:type="auto"/>
            <w:vAlign w:val="center"/>
            <w:hideMark/>
          </w:tcPr>
          <w:p w:rsidR="009460D4" w:rsidRDefault="009460D4">
            <w:pPr>
              <w:pStyle w:val="NormalWeb"/>
            </w:pPr>
            <w:r>
              <w:t>Australia and Oceania</w:t>
            </w:r>
          </w:p>
        </w:tc>
        <w:tc>
          <w:tcPr>
            <w:tcW w:w="0" w:type="auto"/>
            <w:vAlign w:val="center"/>
            <w:hideMark/>
          </w:tcPr>
          <w:p w:rsidR="009460D4" w:rsidRDefault="009460D4">
            <w:pPr>
              <w:pStyle w:val="NormalWeb"/>
            </w:pPr>
            <w:r>
              <w:t>38.304.000</w:t>
            </w:r>
          </w:p>
        </w:tc>
        <w:tc>
          <w:tcPr>
            <w:tcW w:w="0" w:type="auto"/>
            <w:vAlign w:val="center"/>
            <w:hideMark/>
          </w:tcPr>
          <w:p w:rsidR="009460D4" w:rsidRDefault="009460D4">
            <w:pPr>
              <w:pStyle w:val="NormalWeb"/>
            </w:pPr>
            <w:r>
              <w:t>0,53</w:t>
            </w:r>
          </w:p>
        </w:tc>
        <w:tc>
          <w:tcPr>
            <w:tcW w:w="0" w:type="auto"/>
            <w:vAlign w:val="center"/>
            <w:hideMark/>
          </w:tcPr>
          <w:p w:rsidR="009460D4" w:rsidRDefault="009460D4">
            <w:pPr>
              <w:pStyle w:val="NormalWeb"/>
            </w:pPr>
            <w:r>
              <w:t>1</w:t>
            </w:r>
          </w:p>
        </w:tc>
        <w:tc>
          <w:tcPr>
            <w:tcW w:w="0" w:type="auto"/>
            <w:vAlign w:val="center"/>
            <w:hideMark/>
          </w:tcPr>
          <w:p w:rsidR="009460D4" w:rsidRDefault="009460D4">
            <w:pPr>
              <w:pStyle w:val="NormalWeb"/>
            </w:pPr>
            <w:r>
              <w:t>382</w:t>
            </w:r>
          </w:p>
        </w:tc>
        <w:tc>
          <w:tcPr>
            <w:tcW w:w="0" w:type="auto"/>
            <w:vAlign w:val="center"/>
            <w:hideMark/>
          </w:tcPr>
          <w:p w:rsidR="009460D4" w:rsidRDefault="009460D4">
            <w:pPr>
              <w:pStyle w:val="NormalWeb"/>
            </w:pPr>
            <w:r>
              <w:t>1,1</w:t>
            </w:r>
          </w:p>
        </w:tc>
        <w:tc>
          <w:tcPr>
            <w:tcW w:w="0" w:type="auto"/>
            <w:vAlign w:val="center"/>
            <w:hideMark/>
          </w:tcPr>
          <w:p w:rsidR="009460D4" w:rsidRDefault="009460D4">
            <w:pPr>
              <w:pStyle w:val="NormalWeb"/>
            </w:pPr>
            <w:r>
              <w:t>1</w:t>
            </w:r>
          </w:p>
        </w:tc>
      </w:tr>
      <w:tr w:rsidR="009460D4" w:rsidTr="009460D4">
        <w:trPr>
          <w:tblCellSpacing w:w="15" w:type="dxa"/>
        </w:trPr>
        <w:tc>
          <w:tcPr>
            <w:tcW w:w="0" w:type="auto"/>
            <w:vAlign w:val="center"/>
            <w:hideMark/>
          </w:tcPr>
          <w:p w:rsidR="009460D4" w:rsidRDefault="009460D4">
            <w:pPr>
              <w:pStyle w:val="NormalWeb"/>
            </w:pPr>
            <w:r>
              <w:t>Latin America and the Caribbean</w:t>
            </w:r>
          </w:p>
        </w:tc>
        <w:tc>
          <w:tcPr>
            <w:tcW w:w="0" w:type="auto"/>
            <w:vAlign w:val="center"/>
            <w:hideMark/>
          </w:tcPr>
          <w:p w:rsidR="009460D4" w:rsidRDefault="009460D4">
            <w:pPr>
              <w:pStyle w:val="NormalWeb"/>
            </w:pPr>
            <w:r>
              <w:t>551.177.000</w:t>
            </w:r>
          </w:p>
        </w:tc>
        <w:tc>
          <w:tcPr>
            <w:tcW w:w="0" w:type="auto"/>
            <w:vAlign w:val="center"/>
            <w:hideMark/>
          </w:tcPr>
          <w:p w:rsidR="009460D4" w:rsidRDefault="009460D4">
            <w:pPr>
              <w:pStyle w:val="NormalWeb"/>
            </w:pPr>
            <w:r>
              <w:t>7,69</w:t>
            </w:r>
          </w:p>
        </w:tc>
        <w:tc>
          <w:tcPr>
            <w:tcW w:w="0" w:type="auto"/>
            <w:vAlign w:val="center"/>
            <w:hideMark/>
          </w:tcPr>
          <w:p w:rsidR="009460D4" w:rsidRDefault="009460D4">
            <w:pPr>
              <w:pStyle w:val="NormalWeb"/>
            </w:pPr>
            <w:r>
              <w:t>9</w:t>
            </w:r>
          </w:p>
        </w:tc>
        <w:tc>
          <w:tcPr>
            <w:tcW w:w="0" w:type="auto"/>
            <w:vAlign w:val="center"/>
            <w:hideMark/>
          </w:tcPr>
          <w:p w:rsidR="009460D4" w:rsidRDefault="009460D4">
            <w:pPr>
              <w:pStyle w:val="NormalWeb"/>
            </w:pPr>
            <w:r>
              <w:t>1.865</w:t>
            </w:r>
          </w:p>
        </w:tc>
        <w:tc>
          <w:tcPr>
            <w:tcW w:w="0" w:type="auto"/>
            <w:vAlign w:val="center"/>
            <w:hideMark/>
          </w:tcPr>
          <w:p w:rsidR="009460D4" w:rsidRDefault="009460D4">
            <w:pPr>
              <w:pStyle w:val="NormalWeb"/>
            </w:pPr>
            <w:r>
              <w:t>5,5</w:t>
            </w:r>
          </w:p>
        </w:tc>
        <w:tc>
          <w:tcPr>
            <w:tcW w:w="0" w:type="auto"/>
            <w:vAlign w:val="center"/>
            <w:hideMark/>
          </w:tcPr>
          <w:p w:rsidR="009460D4" w:rsidRDefault="009460D4">
            <w:pPr>
              <w:pStyle w:val="NormalWeb"/>
            </w:pPr>
            <w:r>
              <w:t>6</w:t>
            </w:r>
          </w:p>
        </w:tc>
      </w:tr>
      <w:tr w:rsidR="009460D4" w:rsidTr="009460D4">
        <w:trPr>
          <w:tblCellSpacing w:w="15" w:type="dxa"/>
        </w:trPr>
        <w:tc>
          <w:tcPr>
            <w:tcW w:w="0" w:type="auto"/>
            <w:vAlign w:val="center"/>
            <w:hideMark/>
          </w:tcPr>
          <w:p w:rsidR="009460D4" w:rsidRDefault="009460D4">
            <w:pPr>
              <w:pStyle w:val="NormalWeb"/>
            </w:pPr>
            <w:r>
              <w:t>Africa</w:t>
            </w:r>
          </w:p>
        </w:tc>
        <w:tc>
          <w:tcPr>
            <w:tcW w:w="0" w:type="auto"/>
            <w:vAlign w:val="center"/>
            <w:hideMark/>
          </w:tcPr>
          <w:p w:rsidR="009460D4" w:rsidRDefault="009460D4">
            <w:pPr>
              <w:pStyle w:val="NormalWeb"/>
            </w:pPr>
            <w:r>
              <w:t>1.110.635.000</w:t>
            </w:r>
          </w:p>
        </w:tc>
        <w:tc>
          <w:tcPr>
            <w:tcW w:w="0" w:type="auto"/>
            <w:vAlign w:val="center"/>
            <w:hideMark/>
          </w:tcPr>
          <w:p w:rsidR="009460D4" w:rsidRDefault="009460D4">
            <w:pPr>
              <w:pStyle w:val="NormalWeb"/>
            </w:pPr>
            <w:r>
              <w:t>15,51</w:t>
            </w:r>
          </w:p>
        </w:tc>
        <w:tc>
          <w:tcPr>
            <w:tcW w:w="0" w:type="auto"/>
            <w:vAlign w:val="center"/>
            <w:hideMark/>
          </w:tcPr>
          <w:p w:rsidR="009460D4" w:rsidRDefault="009460D4">
            <w:pPr>
              <w:pStyle w:val="NormalWeb"/>
            </w:pPr>
            <w:r>
              <w:t>15</w:t>
            </w:r>
          </w:p>
        </w:tc>
        <w:tc>
          <w:tcPr>
            <w:tcW w:w="0" w:type="auto"/>
            <w:vAlign w:val="center"/>
            <w:hideMark/>
          </w:tcPr>
          <w:p w:rsidR="009460D4" w:rsidRDefault="009460D4">
            <w:pPr>
              <w:pStyle w:val="NormalWeb"/>
            </w:pPr>
            <w:r>
              <w:t>1.207</w:t>
            </w:r>
          </w:p>
        </w:tc>
        <w:tc>
          <w:tcPr>
            <w:tcW w:w="0" w:type="auto"/>
            <w:vAlign w:val="center"/>
            <w:hideMark/>
          </w:tcPr>
          <w:p w:rsidR="009460D4" w:rsidRDefault="009460D4">
            <w:pPr>
              <w:pStyle w:val="NormalWeb"/>
            </w:pPr>
            <w:r>
              <w:t>3,5</w:t>
            </w:r>
          </w:p>
        </w:tc>
        <w:tc>
          <w:tcPr>
            <w:tcW w:w="0" w:type="auto"/>
            <w:vAlign w:val="center"/>
            <w:hideMark/>
          </w:tcPr>
          <w:p w:rsidR="009460D4" w:rsidRDefault="009460D4">
            <w:pPr>
              <w:pStyle w:val="NormalWeb"/>
            </w:pPr>
            <w:r>
              <w:t>3</w:t>
            </w:r>
          </w:p>
        </w:tc>
      </w:tr>
      <w:tr w:rsidR="009460D4" w:rsidTr="009460D4">
        <w:trPr>
          <w:tblCellSpacing w:w="15" w:type="dxa"/>
        </w:trPr>
        <w:tc>
          <w:tcPr>
            <w:tcW w:w="0" w:type="auto"/>
            <w:vAlign w:val="center"/>
            <w:hideMark/>
          </w:tcPr>
          <w:p w:rsidR="009460D4" w:rsidRDefault="009460D4">
            <w:pPr>
              <w:pStyle w:val="NormalWeb"/>
            </w:pPr>
            <w:r>
              <w:t>North America</w:t>
            </w:r>
          </w:p>
        </w:tc>
        <w:tc>
          <w:tcPr>
            <w:tcW w:w="0" w:type="auto"/>
            <w:vAlign w:val="center"/>
            <w:hideMark/>
          </w:tcPr>
          <w:p w:rsidR="009460D4" w:rsidRDefault="009460D4">
            <w:pPr>
              <w:pStyle w:val="NormalWeb"/>
            </w:pPr>
            <w:r>
              <w:t>335.361.000</w:t>
            </w:r>
          </w:p>
        </w:tc>
        <w:tc>
          <w:tcPr>
            <w:tcW w:w="0" w:type="auto"/>
            <w:vAlign w:val="center"/>
            <w:hideMark/>
          </w:tcPr>
          <w:p w:rsidR="009460D4" w:rsidRDefault="009460D4">
            <w:pPr>
              <w:pStyle w:val="NormalWeb"/>
            </w:pPr>
            <w:r>
              <w:t>4,68</w:t>
            </w:r>
          </w:p>
        </w:tc>
        <w:tc>
          <w:tcPr>
            <w:tcW w:w="0" w:type="auto"/>
            <w:vAlign w:val="center"/>
            <w:hideMark/>
          </w:tcPr>
          <w:p w:rsidR="009460D4" w:rsidRDefault="009460D4">
            <w:pPr>
              <w:pStyle w:val="NormalWeb"/>
            </w:pPr>
            <w:r>
              <w:t>5</w:t>
            </w:r>
          </w:p>
        </w:tc>
        <w:tc>
          <w:tcPr>
            <w:tcW w:w="0" w:type="auto"/>
            <w:vAlign w:val="center"/>
            <w:hideMark/>
          </w:tcPr>
          <w:p w:rsidR="009460D4" w:rsidRDefault="009460D4">
            <w:pPr>
              <w:pStyle w:val="NormalWeb"/>
            </w:pPr>
            <w:r>
              <w:t>5.737</w:t>
            </w:r>
          </w:p>
        </w:tc>
        <w:tc>
          <w:tcPr>
            <w:tcW w:w="0" w:type="auto"/>
            <w:vAlign w:val="center"/>
            <w:hideMark/>
          </w:tcPr>
          <w:p w:rsidR="009460D4" w:rsidRDefault="009460D4">
            <w:pPr>
              <w:pStyle w:val="NormalWeb"/>
            </w:pPr>
            <w:r>
              <w:t>16,8</w:t>
            </w:r>
          </w:p>
        </w:tc>
        <w:tc>
          <w:tcPr>
            <w:tcW w:w="0" w:type="auto"/>
            <w:vAlign w:val="center"/>
            <w:hideMark/>
          </w:tcPr>
          <w:p w:rsidR="009460D4" w:rsidRDefault="009460D4">
            <w:pPr>
              <w:pStyle w:val="NormalWeb"/>
            </w:pPr>
            <w:r>
              <w:t>17</w:t>
            </w:r>
          </w:p>
        </w:tc>
      </w:tr>
      <w:tr w:rsidR="009460D4" w:rsidTr="009460D4">
        <w:trPr>
          <w:tblCellSpacing w:w="15" w:type="dxa"/>
        </w:trPr>
        <w:tc>
          <w:tcPr>
            <w:tcW w:w="0" w:type="auto"/>
            <w:vAlign w:val="center"/>
            <w:hideMark/>
          </w:tcPr>
          <w:p w:rsidR="009460D4" w:rsidRDefault="009460D4">
            <w:pPr>
              <w:pStyle w:val="NormalWeb"/>
            </w:pPr>
            <w:r>
              <w:t>Overall</w:t>
            </w:r>
          </w:p>
        </w:tc>
        <w:tc>
          <w:tcPr>
            <w:tcW w:w="0" w:type="auto"/>
            <w:vAlign w:val="center"/>
            <w:hideMark/>
          </w:tcPr>
          <w:p w:rsidR="009460D4" w:rsidRDefault="009460D4">
            <w:pPr>
              <w:pStyle w:val="NormalWeb"/>
            </w:pPr>
            <w:r>
              <w:t>7.162.119.000</w:t>
            </w:r>
          </w:p>
        </w:tc>
        <w:tc>
          <w:tcPr>
            <w:tcW w:w="0" w:type="auto"/>
            <w:vAlign w:val="center"/>
            <w:hideMark/>
          </w:tcPr>
          <w:p w:rsidR="009460D4" w:rsidRDefault="009460D4">
            <w:pPr>
              <w:pStyle w:val="NormalWeb"/>
            </w:pPr>
            <w:r>
              <w:t>100,00</w:t>
            </w:r>
          </w:p>
        </w:tc>
        <w:tc>
          <w:tcPr>
            <w:tcW w:w="0" w:type="auto"/>
            <w:vAlign w:val="center"/>
            <w:hideMark/>
          </w:tcPr>
          <w:p w:rsidR="009460D4" w:rsidRDefault="009460D4">
            <w:pPr>
              <w:pStyle w:val="NormalWeb"/>
            </w:pPr>
            <w:r>
              <w:t>100</w:t>
            </w:r>
          </w:p>
        </w:tc>
        <w:tc>
          <w:tcPr>
            <w:tcW w:w="0" w:type="auto"/>
            <w:vAlign w:val="center"/>
            <w:hideMark/>
          </w:tcPr>
          <w:p w:rsidR="009460D4" w:rsidRDefault="009460D4">
            <w:pPr>
              <w:pStyle w:val="NormalWeb"/>
            </w:pPr>
            <w:r>
              <w:t>34.092</w:t>
            </w:r>
          </w:p>
        </w:tc>
        <w:tc>
          <w:tcPr>
            <w:tcW w:w="0" w:type="auto"/>
            <w:vAlign w:val="center"/>
            <w:hideMark/>
          </w:tcPr>
          <w:p w:rsidR="009460D4" w:rsidRDefault="009460D4">
            <w:pPr>
              <w:pStyle w:val="NormalWeb"/>
            </w:pPr>
            <w:r>
              <w:t>100,00</w:t>
            </w:r>
          </w:p>
        </w:tc>
        <w:tc>
          <w:tcPr>
            <w:tcW w:w="0" w:type="auto"/>
            <w:vAlign w:val="center"/>
            <w:hideMark/>
          </w:tcPr>
          <w:p w:rsidR="009460D4" w:rsidRDefault="009460D4">
            <w:pPr>
              <w:pStyle w:val="NormalWeb"/>
            </w:pPr>
            <w:r>
              <w:t>100</w:t>
            </w:r>
          </w:p>
        </w:tc>
      </w:tr>
    </w:tbl>
    <w:p w:rsidR="009460D4" w:rsidRDefault="009460D4" w:rsidP="009460D4">
      <w:pPr>
        <w:pStyle w:val="NormalWeb"/>
      </w:pPr>
      <w:r>
        <w:rPr>
          <w:rStyle w:val="Emphasis"/>
        </w:rPr>
        <w:t xml:space="preserve">Source: </w:t>
      </w:r>
      <w:hyperlink r:id="rId12" w:tgtFrame="_blank" w:history="1">
        <w:r>
          <w:rPr>
            <w:rStyle w:val="Hyperlink"/>
            <w:i/>
            <w:iCs/>
          </w:rPr>
          <w:t>Global Carbon Atlas</w:t>
        </w:r>
      </w:hyperlink>
    </w:p>
    <w:p w:rsidR="009460D4" w:rsidRDefault="009460D4" w:rsidP="009460D4">
      <w:pPr>
        <w:pStyle w:val="NormalWeb"/>
      </w:pPr>
      <w:r>
        <w:rPr>
          <w:rStyle w:val="Strong"/>
        </w:rPr>
        <w:t>Oil supplies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9"/>
        <w:gridCol w:w="1515"/>
        <w:gridCol w:w="740"/>
        <w:gridCol w:w="1864"/>
        <w:gridCol w:w="1239"/>
        <w:gridCol w:w="740"/>
        <w:gridCol w:w="455"/>
      </w:tblGrid>
      <w:tr w:rsidR="009460D4" w:rsidTr="009460D4">
        <w:trPr>
          <w:gridAfter w:val="1"/>
          <w:tblCellSpacing w:w="15" w:type="dxa"/>
        </w:trPr>
        <w:tc>
          <w:tcPr>
            <w:tcW w:w="0" w:type="auto"/>
            <w:vAlign w:val="center"/>
            <w:hideMark/>
          </w:tcPr>
          <w:p w:rsidR="009460D4" w:rsidRDefault="009460D4">
            <w:pPr>
              <w:pStyle w:val="NormalWeb"/>
            </w:pPr>
            <w:r>
              <w:t>Population</w:t>
            </w:r>
          </w:p>
        </w:tc>
        <w:tc>
          <w:tcPr>
            <w:tcW w:w="0" w:type="auto"/>
            <w:vAlign w:val="center"/>
            <w:hideMark/>
          </w:tcPr>
          <w:p w:rsidR="009460D4" w:rsidRDefault="009460D4">
            <w:pPr>
              <w:pStyle w:val="NormalWeb"/>
            </w:pPr>
            <w:r>
              <w:t>Population (%)</w:t>
            </w:r>
          </w:p>
        </w:tc>
        <w:tc>
          <w:tcPr>
            <w:tcW w:w="0" w:type="auto"/>
            <w:vAlign w:val="center"/>
            <w:hideMark/>
          </w:tcPr>
          <w:p w:rsidR="009460D4" w:rsidRDefault="009460D4">
            <w:pPr>
              <w:pStyle w:val="NormalWeb"/>
            </w:pPr>
            <w:r>
              <w:t>Cones</w:t>
            </w:r>
          </w:p>
        </w:tc>
        <w:tc>
          <w:tcPr>
            <w:tcW w:w="0" w:type="auto"/>
            <w:vAlign w:val="center"/>
            <w:hideMark/>
          </w:tcPr>
          <w:p w:rsidR="009460D4" w:rsidRDefault="009460D4">
            <w:pPr>
              <w:pStyle w:val="NormalWeb"/>
            </w:pPr>
            <w:r>
              <w:t>Oil supplies ( MIO brl)</w:t>
            </w:r>
          </w:p>
        </w:tc>
        <w:tc>
          <w:tcPr>
            <w:tcW w:w="0" w:type="auto"/>
            <w:vAlign w:val="center"/>
            <w:hideMark/>
          </w:tcPr>
          <w:p w:rsidR="009460D4" w:rsidRDefault="009460D4">
            <w:pPr>
              <w:pStyle w:val="NormalWeb"/>
            </w:pPr>
            <w:r>
              <w:t>Supplies (%)</w:t>
            </w:r>
          </w:p>
        </w:tc>
        <w:tc>
          <w:tcPr>
            <w:tcW w:w="0" w:type="auto"/>
            <w:vAlign w:val="center"/>
            <w:hideMark/>
          </w:tcPr>
          <w:p w:rsidR="009460D4" w:rsidRDefault="009460D4">
            <w:pPr>
              <w:pStyle w:val="NormalWeb"/>
            </w:pPr>
            <w:r>
              <w:t>Cones</w:t>
            </w:r>
          </w:p>
        </w:tc>
      </w:tr>
      <w:tr w:rsidR="009460D4" w:rsidTr="009460D4">
        <w:trPr>
          <w:tblCellSpacing w:w="15" w:type="dxa"/>
        </w:trPr>
        <w:tc>
          <w:tcPr>
            <w:tcW w:w="0" w:type="auto"/>
            <w:vAlign w:val="center"/>
            <w:hideMark/>
          </w:tcPr>
          <w:p w:rsidR="009460D4" w:rsidRDefault="009460D4">
            <w:pPr>
              <w:pStyle w:val="NormalWeb"/>
            </w:pPr>
            <w:r>
              <w:t>Europe with Euroasia</w:t>
            </w:r>
          </w:p>
        </w:tc>
        <w:tc>
          <w:tcPr>
            <w:tcW w:w="0" w:type="auto"/>
            <w:vAlign w:val="center"/>
            <w:hideMark/>
          </w:tcPr>
          <w:p w:rsidR="009460D4" w:rsidRDefault="009460D4">
            <w:pPr>
              <w:pStyle w:val="NormalWeb"/>
            </w:pPr>
            <w:r>
              <w:t>742.452.000</w:t>
            </w:r>
          </w:p>
        </w:tc>
        <w:tc>
          <w:tcPr>
            <w:tcW w:w="0" w:type="auto"/>
            <w:vAlign w:val="center"/>
            <w:hideMark/>
          </w:tcPr>
          <w:p w:rsidR="009460D4" w:rsidRDefault="009460D4">
            <w:pPr>
              <w:pStyle w:val="NormalWeb"/>
            </w:pPr>
            <w:r>
              <w:t>10,36</w:t>
            </w:r>
          </w:p>
        </w:tc>
        <w:tc>
          <w:tcPr>
            <w:tcW w:w="0" w:type="auto"/>
            <w:vAlign w:val="center"/>
            <w:hideMark/>
          </w:tcPr>
          <w:p w:rsidR="009460D4" w:rsidRDefault="009460D4">
            <w:pPr>
              <w:pStyle w:val="NormalWeb"/>
            </w:pPr>
            <w:r>
              <w:t>10</w:t>
            </w:r>
          </w:p>
        </w:tc>
        <w:tc>
          <w:tcPr>
            <w:tcW w:w="0" w:type="auto"/>
            <w:vAlign w:val="center"/>
            <w:hideMark/>
          </w:tcPr>
          <w:p w:rsidR="009460D4" w:rsidRDefault="009460D4">
            <w:pPr>
              <w:pStyle w:val="NormalWeb"/>
            </w:pPr>
            <w:r>
              <w:t>131.440</w:t>
            </w:r>
          </w:p>
        </w:tc>
        <w:tc>
          <w:tcPr>
            <w:tcW w:w="0" w:type="auto"/>
            <w:vAlign w:val="center"/>
            <w:hideMark/>
          </w:tcPr>
          <w:p w:rsidR="009460D4" w:rsidRDefault="009460D4">
            <w:pPr>
              <w:pStyle w:val="NormalWeb"/>
            </w:pPr>
            <w:r>
              <w:t>8,8</w:t>
            </w:r>
          </w:p>
        </w:tc>
        <w:tc>
          <w:tcPr>
            <w:tcW w:w="0" w:type="auto"/>
            <w:vAlign w:val="center"/>
            <w:hideMark/>
          </w:tcPr>
          <w:p w:rsidR="009460D4" w:rsidRDefault="009460D4">
            <w:pPr>
              <w:pStyle w:val="NormalWeb"/>
            </w:pPr>
            <w:r>
              <w:t>9</w:t>
            </w:r>
          </w:p>
        </w:tc>
      </w:tr>
      <w:tr w:rsidR="009460D4" w:rsidTr="009460D4">
        <w:trPr>
          <w:tblCellSpacing w:w="15" w:type="dxa"/>
        </w:trPr>
        <w:tc>
          <w:tcPr>
            <w:tcW w:w="0" w:type="auto"/>
            <w:vAlign w:val="center"/>
            <w:hideMark/>
          </w:tcPr>
          <w:p w:rsidR="009460D4" w:rsidRDefault="009460D4">
            <w:pPr>
              <w:pStyle w:val="NormalWeb"/>
            </w:pPr>
            <w:r>
              <w:t>Asia without Russia</w:t>
            </w:r>
          </w:p>
        </w:tc>
        <w:tc>
          <w:tcPr>
            <w:tcW w:w="0" w:type="auto"/>
            <w:vAlign w:val="center"/>
            <w:hideMark/>
          </w:tcPr>
          <w:p w:rsidR="009460D4" w:rsidRDefault="009460D4">
            <w:pPr>
              <w:pStyle w:val="NormalWeb"/>
            </w:pPr>
            <w:r>
              <w:t>4.298.732.000</w:t>
            </w:r>
          </w:p>
        </w:tc>
        <w:tc>
          <w:tcPr>
            <w:tcW w:w="0" w:type="auto"/>
            <w:vAlign w:val="center"/>
            <w:hideMark/>
          </w:tcPr>
          <w:p w:rsidR="009460D4" w:rsidRDefault="009460D4">
            <w:pPr>
              <w:pStyle w:val="NormalWeb"/>
            </w:pPr>
            <w:r>
              <w:t>60,02</w:t>
            </w:r>
          </w:p>
        </w:tc>
        <w:tc>
          <w:tcPr>
            <w:tcW w:w="0" w:type="auto"/>
            <w:vAlign w:val="center"/>
            <w:hideMark/>
          </w:tcPr>
          <w:p w:rsidR="009460D4" w:rsidRDefault="009460D4">
            <w:pPr>
              <w:pStyle w:val="NormalWeb"/>
            </w:pPr>
            <w:r>
              <w:t>60</w:t>
            </w:r>
          </w:p>
        </w:tc>
        <w:tc>
          <w:tcPr>
            <w:tcW w:w="0" w:type="auto"/>
            <w:vAlign w:val="center"/>
            <w:hideMark/>
          </w:tcPr>
          <w:p w:rsidR="009460D4" w:rsidRDefault="009460D4">
            <w:pPr>
              <w:pStyle w:val="NormalWeb"/>
            </w:pPr>
            <w:r>
              <w:t>845.702</w:t>
            </w:r>
          </w:p>
        </w:tc>
        <w:tc>
          <w:tcPr>
            <w:tcW w:w="0" w:type="auto"/>
            <w:vAlign w:val="center"/>
            <w:hideMark/>
          </w:tcPr>
          <w:p w:rsidR="009460D4" w:rsidRDefault="009460D4">
            <w:pPr>
              <w:pStyle w:val="NormalWeb"/>
            </w:pPr>
            <w:r>
              <w:t>56,7</w:t>
            </w:r>
          </w:p>
        </w:tc>
        <w:tc>
          <w:tcPr>
            <w:tcW w:w="0" w:type="auto"/>
            <w:vAlign w:val="center"/>
            <w:hideMark/>
          </w:tcPr>
          <w:p w:rsidR="009460D4" w:rsidRDefault="009460D4">
            <w:pPr>
              <w:pStyle w:val="NormalWeb"/>
            </w:pPr>
            <w:r>
              <w:t>57</w:t>
            </w:r>
          </w:p>
        </w:tc>
      </w:tr>
      <w:tr w:rsidR="009460D4" w:rsidTr="009460D4">
        <w:trPr>
          <w:tblCellSpacing w:w="15" w:type="dxa"/>
        </w:trPr>
        <w:tc>
          <w:tcPr>
            <w:tcW w:w="0" w:type="auto"/>
            <w:vAlign w:val="center"/>
            <w:hideMark/>
          </w:tcPr>
          <w:p w:rsidR="009460D4" w:rsidRDefault="009460D4">
            <w:pPr>
              <w:pStyle w:val="NormalWeb"/>
            </w:pPr>
            <w:r>
              <w:t>Russia</w:t>
            </w:r>
          </w:p>
        </w:tc>
        <w:tc>
          <w:tcPr>
            <w:tcW w:w="0" w:type="auto"/>
            <w:vAlign w:val="center"/>
            <w:hideMark/>
          </w:tcPr>
          <w:p w:rsidR="009460D4" w:rsidRDefault="009460D4">
            <w:pPr>
              <w:pStyle w:val="NormalWeb"/>
            </w:pPr>
            <w:r>
              <w:t>142.843.000</w:t>
            </w:r>
          </w:p>
        </w:tc>
        <w:tc>
          <w:tcPr>
            <w:tcW w:w="0" w:type="auto"/>
            <w:vAlign w:val="center"/>
            <w:hideMark/>
          </w:tcPr>
          <w:p w:rsidR="009460D4" w:rsidRDefault="009460D4">
            <w:pPr>
              <w:pStyle w:val="NormalWeb"/>
            </w:pPr>
            <w:r>
              <w:t>1,99</w:t>
            </w:r>
          </w:p>
        </w:tc>
        <w:tc>
          <w:tcPr>
            <w:tcW w:w="0" w:type="auto"/>
            <w:vAlign w:val="center"/>
            <w:hideMark/>
          </w:tcPr>
          <w:p w:rsidR="009460D4" w:rsidRDefault="009460D4">
            <w:pPr>
              <w:pStyle w:val="NormalWeb"/>
            </w:pPr>
            <w:r>
              <w:t>2</w:t>
            </w:r>
          </w:p>
        </w:tc>
        <w:tc>
          <w:tcPr>
            <w:tcW w:w="0" w:type="auto"/>
            <w:vAlign w:val="center"/>
            <w:hideMark/>
          </w:tcPr>
          <w:p w:rsidR="009460D4" w:rsidRDefault="009460D4">
            <w:pPr>
              <w:pStyle w:val="NormalWeb"/>
            </w:pPr>
            <w:r>
              <w:t>80.000</w:t>
            </w:r>
          </w:p>
        </w:tc>
        <w:tc>
          <w:tcPr>
            <w:tcW w:w="0" w:type="auto"/>
            <w:vAlign w:val="center"/>
            <w:hideMark/>
          </w:tcPr>
          <w:p w:rsidR="009460D4" w:rsidRDefault="009460D4">
            <w:pPr>
              <w:pStyle w:val="NormalWeb"/>
            </w:pPr>
            <w:r>
              <w:t>5,4</w:t>
            </w:r>
          </w:p>
        </w:tc>
        <w:tc>
          <w:tcPr>
            <w:tcW w:w="0" w:type="auto"/>
            <w:vAlign w:val="center"/>
            <w:hideMark/>
          </w:tcPr>
          <w:p w:rsidR="009460D4" w:rsidRDefault="009460D4">
            <w:pPr>
              <w:pStyle w:val="NormalWeb"/>
            </w:pPr>
            <w:r>
              <w:t>5</w:t>
            </w:r>
          </w:p>
        </w:tc>
      </w:tr>
      <w:tr w:rsidR="009460D4" w:rsidTr="009460D4">
        <w:trPr>
          <w:tblCellSpacing w:w="15" w:type="dxa"/>
        </w:trPr>
        <w:tc>
          <w:tcPr>
            <w:tcW w:w="0" w:type="auto"/>
            <w:vAlign w:val="center"/>
            <w:hideMark/>
          </w:tcPr>
          <w:p w:rsidR="009460D4" w:rsidRDefault="009460D4">
            <w:pPr>
              <w:pStyle w:val="NormalWeb"/>
            </w:pPr>
            <w:r>
              <w:t>Australia and Oceania</w:t>
            </w:r>
          </w:p>
        </w:tc>
        <w:tc>
          <w:tcPr>
            <w:tcW w:w="0" w:type="auto"/>
            <w:vAlign w:val="center"/>
            <w:hideMark/>
          </w:tcPr>
          <w:p w:rsidR="009460D4" w:rsidRDefault="009460D4">
            <w:pPr>
              <w:pStyle w:val="NormalWeb"/>
            </w:pPr>
            <w:r>
              <w:t>38.304.000</w:t>
            </w:r>
          </w:p>
        </w:tc>
        <w:tc>
          <w:tcPr>
            <w:tcW w:w="0" w:type="auto"/>
            <w:vAlign w:val="center"/>
            <w:hideMark/>
          </w:tcPr>
          <w:p w:rsidR="009460D4" w:rsidRDefault="009460D4">
            <w:pPr>
              <w:pStyle w:val="NormalWeb"/>
            </w:pPr>
            <w:r>
              <w:t>0,53</w:t>
            </w:r>
          </w:p>
        </w:tc>
        <w:tc>
          <w:tcPr>
            <w:tcW w:w="0" w:type="auto"/>
            <w:vAlign w:val="center"/>
            <w:hideMark/>
          </w:tcPr>
          <w:p w:rsidR="009460D4" w:rsidRDefault="009460D4">
            <w:pPr>
              <w:pStyle w:val="NormalWeb"/>
            </w:pPr>
            <w:r>
              <w:t>1</w:t>
            </w:r>
          </w:p>
        </w:tc>
        <w:tc>
          <w:tcPr>
            <w:tcW w:w="0" w:type="auto"/>
            <w:vAlign w:val="center"/>
            <w:hideMark/>
          </w:tcPr>
          <w:p w:rsidR="009460D4" w:rsidRDefault="009460D4">
            <w:pPr>
              <w:pStyle w:val="NormalWeb"/>
            </w:pPr>
            <w:r>
              <w:t>5.262</w:t>
            </w:r>
          </w:p>
        </w:tc>
        <w:tc>
          <w:tcPr>
            <w:tcW w:w="0" w:type="auto"/>
            <w:vAlign w:val="center"/>
            <w:hideMark/>
          </w:tcPr>
          <w:p w:rsidR="009460D4" w:rsidRDefault="009460D4">
            <w:pPr>
              <w:pStyle w:val="NormalWeb"/>
            </w:pPr>
            <w:r>
              <w:t>0,3</w:t>
            </w:r>
          </w:p>
        </w:tc>
        <w:tc>
          <w:tcPr>
            <w:tcW w:w="0" w:type="auto"/>
            <w:vAlign w:val="center"/>
            <w:hideMark/>
          </w:tcPr>
          <w:p w:rsidR="009460D4" w:rsidRDefault="009460D4">
            <w:pPr>
              <w:pStyle w:val="NormalWeb"/>
            </w:pPr>
            <w:r>
              <w:t>0</w:t>
            </w:r>
          </w:p>
        </w:tc>
      </w:tr>
      <w:tr w:rsidR="009460D4" w:rsidTr="009460D4">
        <w:trPr>
          <w:tblCellSpacing w:w="15" w:type="dxa"/>
        </w:trPr>
        <w:tc>
          <w:tcPr>
            <w:tcW w:w="0" w:type="auto"/>
            <w:vAlign w:val="center"/>
            <w:hideMark/>
          </w:tcPr>
          <w:p w:rsidR="009460D4" w:rsidRDefault="009460D4">
            <w:pPr>
              <w:pStyle w:val="NormalWeb"/>
            </w:pPr>
            <w:r>
              <w:t>Latin America and the Caribbean</w:t>
            </w:r>
          </w:p>
        </w:tc>
        <w:tc>
          <w:tcPr>
            <w:tcW w:w="0" w:type="auto"/>
            <w:vAlign w:val="center"/>
            <w:hideMark/>
          </w:tcPr>
          <w:p w:rsidR="009460D4" w:rsidRDefault="009460D4">
            <w:pPr>
              <w:pStyle w:val="NormalWeb"/>
            </w:pPr>
            <w:r>
              <w:t>551.177.000</w:t>
            </w:r>
          </w:p>
        </w:tc>
        <w:tc>
          <w:tcPr>
            <w:tcW w:w="0" w:type="auto"/>
            <w:vAlign w:val="center"/>
            <w:hideMark/>
          </w:tcPr>
          <w:p w:rsidR="009460D4" w:rsidRDefault="009460D4">
            <w:pPr>
              <w:pStyle w:val="NormalWeb"/>
            </w:pPr>
            <w:r>
              <w:t>7,69</w:t>
            </w:r>
          </w:p>
        </w:tc>
        <w:tc>
          <w:tcPr>
            <w:tcW w:w="0" w:type="auto"/>
            <w:vAlign w:val="center"/>
            <w:hideMark/>
          </w:tcPr>
          <w:p w:rsidR="009460D4" w:rsidRDefault="009460D4">
            <w:pPr>
              <w:pStyle w:val="NormalWeb"/>
            </w:pPr>
            <w:r>
              <w:t>9</w:t>
            </w:r>
          </w:p>
        </w:tc>
        <w:tc>
          <w:tcPr>
            <w:tcW w:w="0" w:type="auto"/>
            <w:vAlign w:val="center"/>
            <w:hideMark/>
          </w:tcPr>
          <w:p w:rsidR="009460D4" w:rsidRDefault="009460D4">
            <w:pPr>
              <w:pStyle w:val="NormalWeb"/>
            </w:pPr>
            <w:r>
              <w:t>342.235</w:t>
            </w:r>
          </w:p>
        </w:tc>
        <w:tc>
          <w:tcPr>
            <w:tcW w:w="0" w:type="auto"/>
            <w:vAlign w:val="center"/>
            <w:hideMark/>
          </w:tcPr>
          <w:p w:rsidR="009460D4" w:rsidRDefault="009460D4">
            <w:pPr>
              <w:pStyle w:val="NormalWeb"/>
            </w:pPr>
            <w:r>
              <w:t>23</w:t>
            </w:r>
          </w:p>
        </w:tc>
        <w:tc>
          <w:tcPr>
            <w:tcW w:w="0" w:type="auto"/>
            <w:vAlign w:val="center"/>
            <w:hideMark/>
          </w:tcPr>
          <w:p w:rsidR="009460D4" w:rsidRDefault="009460D4">
            <w:pPr>
              <w:pStyle w:val="NormalWeb"/>
            </w:pPr>
            <w:r>
              <w:t>23</w:t>
            </w:r>
          </w:p>
        </w:tc>
      </w:tr>
      <w:tr w:rsidR="009460D4" w:rsidTr="009460D4">
        <w:trPr>
          <w:tblCellSpacing w:w="15" w:type="dxa"/>
        </w:trPr>
        <w:tc>
          <w:tcPr>
            <w:tcW w:w="0" w:type="auto"/>
            <w:vAlign w:val="center"/>
            <w:hideMark/>
          </w:tcPr>
          <w:p w:rsidR="009460D4" w:rsidRDefault="009460D4">
            <w:pPr>
              <w:pStyle w:val="NormalWeb"/>
            </w:pPr>
            <w:r>
              <w:t>Africa</w:t>
            </w:r>
          </w:p>
        </w:tc>
        <w:tc>
          <w:tcPr>
            <w:tcW w:w="0" w:type="auto"/>
            <w:vAlign w:val="center"/>
            <w:hideMark/>
          </w:tcPr>
          <w:p w:rsidR="009460D4" w:rsidRDefault="009460D4">
            <w:pPr>
              <w:pStyle w:val="NormalWeb"/>
            </w:pPr>
            <w:r>
              <w:t>1.110.635.000</w:t>
            </w:r>
          </w:p>
        </w:tc>
        <w:tc>
          <w:tcPr>
            <w:tcW w:w="0" w:type="auto"/>
            <w:vAlign w:val="center"/>
            <w:hideMark/>
          </w:tcPr>
          <w:p w:rsidR="009460D4" w:rsidRDefault="009460D4">
            <w:pPr>
              <w:pStyle w:val="NormalWeb"/>
            </w:pPr>
            <w:r>
              <w:t>15,51</w:t>
            </w:r>
          </w:p>
        </w:tc>
        <w:tc>
          <w:tcPr>
            <w:tcW w:w="0" w:type="auto"/>
            <w:vAlign w:val="center"/>
            <w:hideMark/>
          </w:tcPr>
          <w:p w:rsidR="009460D4" w:rsidRDefault="009460D4">
            <w:pPr>
              <w:pStyle w:val="NormalWeb"/>
            </w:pPr>
            <w:r>
              <w:t>15</w:t>
            </w:r>
          </w:p>
        </w:tc>
        <w:tc>
          <w:tcPr>
            <w:tcW w:w="0" w:type="auto"/>
            <w:vAlign w:val="center"/>
            <w:hideMark/>
          </w:tcPr>
          <w:p w:rsidR="009460D4" w:rsidRDefault="009460D4">
            <w:pPr>
              <w:pStyle w:val="NormalWeb"/>
            </w:pPr>
            <w:r>
              <w:t>127.561</w:t>
            </w:r>
          </w:p>
        </w:tc>
        <w:tc>
          <w:tcPr>
            <w:tcW w:w="0" w:type="auto"/>
            <w:vAlign w:val="center"/>
            <w:hideMark/>
          </w:tcPr>
          <w:p w:rsidR="009460D4" w:rsidRDefault="009460D4">
            <w:pPr>
              <w:pStyle w:val="NormalWeb"/>
            </w:pPr>
            <w:r>
              <w:t>8,5</w:t>
            </w:r>
          </w:p>
        </w:tc>
        <w:tc>
          <w:tcPr>
            <w:tcW w:w="0" w:type="auto"/>
            <w:vAlign w:val="center"/>
            <w:hideMark/>
          </w:tcPr>
          <w:p w:rsidR="009460D4" w:rsidRDefault="009460D4">
            <w:pPr>
              <w:pStyle w:val="NormalWeb"/>
            </w:pPr>
            <w:r>
              <w:t>8</w:t>
            </w:r>
          </w:p>
        </w:tc>
      </w:tr>
      <w:tr w:rsidR="009460D4" w:rsidTr="009460D4">
        <w:trPr>
          <w:tblCellSpacing w:w="15" w:type="dxa"/>
        </w:trPr>
        <w:tc>
          <w:tcPr>
            <w:tcW w:w="0" w:type="auto"/>
            <w:vAlign w:val="center"/>
            <w:hideMark/>
          </w:tcPr>
          <w:p w:rsidR="009460D4" w:rsidRDefault="009460D4">
            <w:pPr>
              <w:pStyle w:val="NormalWeb"/>
            </w:pPr>
            <w:r>
              <w:t>North America</w:t>
            </w:r>
          </w:p>
        </w:tc>
        <w:tc>
          <w:tcPr>
            <w:tcW w:w="0" w:type="auto"/>
            <w:vAlign w:val="center"/>
            <w:hideMark/>
          </w:tcPr>
          <w:p w:rsidR="009460D4" w:rsidRDefault="009460D4">
            <w:pPr>
              <w:pStyle w:val="NormalWeb"/>
            </w:pPr>
            <w:r>
              <w:t>335.361.000</w:t>
            </w:r>
          </w:p>
        </w:tc>
        <w:tc>
          <w:tcPr>
            <w:tcW w:w="0" w:type="auto"/>
            <w:vAlign w:val="center"/>
            <w:hideMark/>
          </w:tcPr>
          <w:p w:rsidR="009460D4" w:rsidRDefault="009460D4">
            <w:pPr>
              <w:pStyle w:val="NormalWeb"/>
            </w:pPr>
            <w:r>
              <w:t>4,68</w:t>
            </w:r>
          </w:p>
        </w:tc>
        <w:tc>
          <w:tcPr>
            <w:tcW w:w="0" w:type="auto"/>
            <w:vAlign w:val="center"/>
            <w:hideMark/>
          </w:tcPr>
          <w:p w:rsidR="009460D4" w:rsidRDefault="009460D4">
            <w:pPr>
              <w:pStyle w:val="NormalWeb"/>
            </w:pPr>
            <w:r>
              <w:t>5</w:t>
            </w:r>
          </w:p>
        </w:tc>
        <w:tc>
          <w:tcPr>
            <w:tcW w:w="0" w:type="auto"/>
            <w:vAlign w:val="center"/>
            <w:hideMark/>
          </w:tcPr>
          <w:p w:rsidR="009460D4" w:rsidRDefault="009460D4">
            <w:pPr>
              <w:pStyle w:val="NormalWeb"/>
            </w:pPr>
            <w:r>
              <w:t>40.681</w:t>
            </w:r>
          </w:p>
        </w:tc>
        <w:tc>
          <w:tcPr>
            <w:tcW w:w="0" w:type="auto"/>
            <w:vAlign w:val="center"/>
            <w:hideMark/>
          </w:tcPr>
          <w:p w:rsidR="009460D4" w:rsidRDefault="009460D4">
            <w:pPr>
              <w:pStyle w:val="NormalWeb"/>
            </w:pPr>
            <w:r>
              <w:t>2,7</w:t>
            </w:r>
          </w:p>
        </w:tc>
        <w:tc>
          <w:tcPr>
            <w:tcW w:w="0" w:type="auto"/>
            <w:vAlign w:val="center"/>
            <w:hideMark/>
          </w:tcPr>
          <w:p w:rsidR="009460D4" w:rsidRDefault="009460D4">
            <w:pPr>
              <w:pStyle w:val="NormalWeb"/>
            </w:pPr>
            <w:r>
              <w:t>3</w:t>
            </w:r>
          </w:p>
        </w:tc>
      </w:tr>
      <w:tr w:rsidR="009460D4" w:rsidTr="009460D4">
        <w:trPr>
          <w:tblCellSpacing w:w="15" w:type="dxa"/>
        </w:trPr>
        <w:tc>
          <w:tcPr>
            <w:tcW w:w="0" w:type="auto"/>
            <w:vAlign w:val="center"/>
            <w:hideMark/>
          </w:tcPr>
          <w:p w:rsidR="009460D4" w:rsidRDefault="009460D4">
            <w:pPr>
              <w:pStyle w:val="NormalWeb"/>
            </w:pPr>
            <w:r>
              <w:t>Overall</w:t>
            </w:r>
          </w:p>
        </w:tc>
        <w:tc>
          <w:tcPr>
            <w:tcW w:w="0" w:type="auto"/>
            <w:vAlign w:val="center"/>
            <w:hideMark/>
          </w:tcPr>
          <w:p w:rsidR="009460D4" w:rsidRDefault="009460D4">
            <w:pPr>
              <w:pStyle w:val="NormalWeb"/>
            </w:pPr>
            <w:r>
              <w:t>7.162.119.000</w:t>
            </w:r>
          </w:p>
        </w:tc>
        <w:tc>
          <w:tcPr>
            <w:tcW w:w="0" w:type="auto"/>
            <w:vAlign w:val="center"/>
            <w:hideMark/>
          </w:tcPr>
          <w:p w:rsidR="009460D4" w:rsidRDefault="009460D4">
            <w:pPr>
              <w:pStyle w:val="NormalWeb"/>
            </w:pPr>
            <w:r>
              <w:t>100,00</w:t>
            </w:r>
          </w:p>
        </w:tc>
        <w:tc>
          <w:tcPr>
            <w:tcW w:w="0" w:type="auto"/>
            <w:vAlign w:val="center"/>
            <w:hideMark/>
          </w:tcPr>
          <w:p w:rsidR="009460D4" w:rsidRDefault="009460D4">
            <w:pPr>
              <w:pStyle w:val="NormalWeb"/>
            </w:pPr>
            <w:r>
              <w:t>100</w:t>
            </w:r>
          </w:p>
        </w:tc>
        <w:tc>
          <w:tcPr>
            <w:tcW w:w="0" w:type="auto"/>
            <w:vAlign w:val="center"/>
            <w:hideMark/>
          </w:tcPr>
          <w:p w:rsidR="009460D4" w:rsidRDefault="009460D4">
            <w:pPr>
              <w:pStyle w:val="NormalWeb"/>
            </w:pPr>
            <w:r>
              <w:t>1.492.880</w:t>
            </w:r>
          </w:p>
        </w:tc>
        <w:tc>
          <w:tcPr>
            <w:tcW w:w="0" w:type="auto"/>
            <w:vAlign w:val="center"/>
            <w:hideMark/>
          </w:tcPr>
          <w:p w:rsidR="009460D4" w:rsidRDefault="009460D4">
            <w:pPr>
              <w:pStyle w:val="NormalWeb"/>
            </w:pPr>
            <w:r>
              <w:t>100,00</w:t>
            </w:r>
          </w:p>
        </w:tc>
        <w:tc>
          <w:tcPr>
            <w:tcW w:w="0" w:type="auto"/>
            <w:vAlign w:val="center"/>
            <w:hideMark/>
          </w:tcPr>
          <w:p w:rsidR="009460D4" w:rsidRDefault="009460D4">
            <w:pPr>
              <w:pStyle w:val="NormalWeb"/>
            </w:pPr>
            <w:r>
              <w:t>100</w:t>
            </w:r>
          </w:p>
        </w:tc>
      </w:tr>
    </w:tbl>
    <w:p w:rsidR="009460D4" w:rsidRPr="009460D4" w:rsidRDefault="009460D4" w:rsidP="003311F5">
      <w:pPr>
        <w:pStyle w:val="NormalWeb"/>
        <w:rPr>
          <w:rFonts w:ascii="Verdana" w:hAnsi="Verdana"/>
        </w:rPr>
      </w:pPr>
      <w:r>
        <w:rPr>
          <w:rStyle w:val="Emphasis"/>
        </w:rPr>
        <w:t xml:space="preserve">Source: OPEC, Data Download, </w:t>
      </w:r>
      <w:hyperlink r:id="rId13" w:tgtFrame="_blank" w:history="1">
        <w:r>
          <w:rPr>
            <w:rStyle w:val="Hyperlink"/>
            <w:i/>
            <w:iCs/>
          </w:rPr>
          <w:t>Table 3.1 (Oil data upstream)</w:t>
        </w:r>
      </w:hyperlink>
    </w:p>
    <w:sectPr w:rsidR="009460D4" w:rsidRPr="0094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6966"/>
    <w:multiLevelType w:val="hybridMultilevel"/>
    <w:tmpl w:val="81041AA0"/>
    <w:lvl w:ilvl="0" w:tplc="E3EC61B2">
      <w:start w:val="1"/>
      <w:numFmt w:val="bullet"/>
      <w:lvlText w:val=""/>
      <w:lvlJc w:val="left"/>
      <w:pPr>
        <w:ind w:left="720" w:hanging="360"/>
      </w:pPr>
      <w:rPr>
        <w:rFonts w:ascii="Symbol" w:eastAsia="Arial Unicode MS" w:hAnsi="Symbol"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94803F3"/>
    <w:multiLevelType w:val="hybridMultilevel"/>
    <w:tmpl w:val="FC863EFA"/>
    <w:lvl w:ilvl="0" w:tplc="FC306744">
      <w:start w:val="1"/>
      <w:numFmt w:val="bullet"/>
      <w:lvlText w:val=""/>
      <w:lvlJc w:val="left"/>
      <w:pPr>
        <w:ind w:left="720" w:hanging="360"/>
      </w:pPr>
      <w:rPr>
        <w:rFonts w:ascii="Symbol" w:eastAsia="Arial Unicode MS" w:hAnsi="Symbol"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242D9"/>
    <w:rsid w:val="000458DE"/>
    <w:rsid w:val="00163F04"/>
    <w:rsid w:val="003311F5"/>
    <w:rsid w:val="00651BC5"/>
    <w:rsid w:val="006928F5"/>
    <w:rsid w:val="007B2A9F"/>
    <w:rsid w:val="00917AFB"/>
    <w:rsid w:val="009460D4"/>
    <w:rsid w:val="00AE7923"/>
    <w:rsid w:val="00B54A0E"/>
    <w:rsid w:val="00D64919"/>
    <w:rsid w:val="00E954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paragraph" w:styleId="Heading5">
    <w:name w:val="heading 5"/>
    <w:basedOn w:val="Normal"/>
    <w:link w:val="Heading5Char"/>
    <w:uiPriority w:val="9"/>
    <w:qFormat/>
    <w:rsid w:val="009460D4"/>
    <w:pPr>
      <w:spacing w:before="100" w:beforeAutospacing="1" w:after="100" w:afterAutospacing="1" w:line="240" w:lineRule="auto"/>
      <w:outlineLvl w:val="4"/>
    </w:pPr>
    <w:rPr>
      <w:rFonts w:ascii="Times New Roman" w:eastAsia="Times New Roman" w:hAnsi="Times New Roman" w:cs="Times New Roman"/>
      <w:b/>
      <w:bCs/>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character" w:styleId="Hyperlink">
    <w:name w:val="Hyperlink"/>
    <w:basedOn w:val="DefaultParagraphFont"/>
    <w:uiPriority w:val="99"/>
    <w:unhideWhenUsed/>
    <w:rsid w:val="00D64919"/>
    <w:rPr>
      <w:color w:val="0000FF" w:themeColor="hyperlink"/>
      <w:u w:val="single"/>
    </w:rPr>
  </w:style>
  <w:style w:type="character" w:styleId="Strong">
    <w:name w:val="Strong"/>
    <w:basedOn w:val="DefaultParagraphFont"/>
    <w:uiPriority w:val="22"/>
    <w:qFormat/>
    <w:rsid w:val="00B54A0E"/>
    <w:rPr>
      <w:b/>
      <w:bCs/>
    </w:rPr>
  </w:style>
  <w:style w:type="paragraph" w:styleId="NormalWeb">
    <w:name w:val="Normal (Web)"/>
    <w:basedOn w:val="Normal"/>
    <w:uiPriority w:val="99"/>
    <w:unhideWhenUsed/>
    <w:rsid w:val="007B2A9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BalloonText">
    <w:name w:val="Balloon Text"/>
    <w:basedOn w:val="Normal"/>
    <w:link w:val="BalloonTextChar"/>
    <w:uiPriority w:val="99"/>
    <w:semiHidden/>
    <w:unhideWhenUsed/>
    <w:rsid w:val="007B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A9F"/>
    <w:rPr>
      <w:rFonts w:ascii="Tahoma" w:eastAsiaTheme="minorEastAsia" w:hAnsi="Tahoma" w:cs="Tahoma"/>
      <w:sz w:val="16"/>
      <w:szCs w:val="16"/>
      <w:lang w:val="en-US" w:eastAsia="zh-CN"/>
    </w:rPr>
  </w:style>
  <w:style w:type="character" w:styleId="Emphasis">
    <w:name w:val="Emphasis"/>
    <w:basedOn w:val="DefaultParagraphFont"/>
    <w:uiPriority w:val="20"/>
    <w:qFormat/>
    <w:rsid w:val="00E95471"/>
    <w:rPr>
      <w:i/>
      <w:iCs/>
    </w:rPr>
  </w:style>
  <w:style w:type="character" w:customStyle="1" w:styleId="Heading5Char">
    <w:name w:val="Heading 5 Char"/>
    <w:basedOn w:val="DefaultParagraphFont"/>
    <w:link w:val="Heading5"/>
    <w:uiPriority w:val="9"/>
    <w:rsid w:val="009460D4"/>
    <w:rPr>
      <w:rFonts w:ascii="Times New Roman" w:eastAsia="Times New Roman" w:hAnsi="Times New Roman" w:cs="Times New Roman"/>
      <w:b/>
      <w:bCs/>
      <w:sz w:val="20"/>
      <w:szCs w:val="20"/>
      <w:lang w:val="sl-SI" w:eastAsia="sl-SI"/>
    </w:rPr>
  </w:style>
  <w:style w:type="paragraph" w:customStyle="1" w:styleId="lo-normal">
    <w:name w:val="lo-normal"/>
    <w:basedOn w:val="Normal"/>
    <w:rsid w:val="009460D4"/>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paragraph" w:styleId="Heading5">
    <w:name w:val="heading 5"/>
    <w:basedOn w:val="Normal"/>
    <w:link w:val="Heading5Char"/>
    <w:uiPriority w:val="9"/>
    <w:qFormat/>
    <w:rsid w:val="009460D4"/>
    <w:pPr>
      <w:spacing w:before="100" w:beforeAutospacing="1" w:after="100" w:afterAutospacing="1" w:line="240" w:lineRule="auto"/>
      <w:outlineLvl w:val="4"/>
    </w:pPr>
    <w:rPr>
      <w:rFonts w:ascii="Times New Roman" w:eastAsia="Times New Roman" w:hAnsi="Times New Roman" w:cs="Times New Roman"/>
      <w:b/>
      <w:bCs/>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character" w:styleId="Hyperlink">
    <w:name w:val="Hyperlink"/>
    <w:basedOn w:val="DefaultParagraphFont"/>
    <w:uiPriority w:val="99"/>
    <w:unhideWhenUsed/>
    <w:rsid w:val="00D64919"/>
    <w:rPr>
      <w:color w:val="0000FF" w:themeColor="hyperlink"/>
      <w:u w:val="single"/>
    </w:rPr>
  </w:style>
  <w:style w:type="character" w:styleId="Strong">
    <w:name w:val="Strong"/>
    <w:basedOn w:val="DefaultParagraphFont"/>
    <w:uiPriority w:val="22"/>
    <w:qFormat/>
    <w:rsid w:val="00B54A0E"/>
    <w:rPr>
      <w:b/>
      <w:bCs/>
    </w:rPr>
  </w:style>
  <w:style w:type="paragraph" w:styleId="NormalWeb">
    <w:name w:val="Normal (Web)"/>
    <w:basedOn w:val="Normal"/>
    <w:uiPriority w:val="99"/>
    <w:unhideWhenUsed/>
    <w:rsid w:val="007B2A9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BalloonText">
    <w:name w:val="Balloon Text"/>
    <w:basedOn w:val="Normal"/>
    <w:link w:val="BalloonTextChar"/>
    <w:uiPriority w:val="99"/>
    <w:semiHidden/>
    <w:unhideWhenUsed/>
    <w:rsid w:val="007B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A9F"/>
    <w:rPr>
      <w:rFonts w:ascii="Tahoma" w:eastAsiaTheme="minorEastAsia" w:hAnsi="Tahoma" w:cs="Tahoma"/>
      <w:sz w:val="16"/>
      <w:szCs w:val="16"/>
      <w:lang w:val="en-US" w:eastAsia="zh-CN"/>
    </w:rPr>
  </w:style>
  <w:style w:type="character" w:styleId="Emphasis">
    <w:name w:val="Emphasis"/>
    <w:basedOn w:val="DefaultParagraphFont"/>
    <w:uiPriority w:val="20"/>
    <w:qFormat/>
    <w:rsid w:val="00E95471"/>
    <w:rPr>
      <w:i/>
      <w:iCs/>
    </w:rPr>
  </w:style>
  <w:style w:type="character" w:customStyle="1" w:styleId="Heading5Char">
    <w:name w:val="Heading 5 Char"/>
    <w:basedOn w:val="DefaultParagraphFont"/>
    <w:link w:val="Heading5"/>
    <w:uiPriority w:val="9"/>
    <w:rsid w:val="009460D4"/>
    <w:rPr>
      <w:rFonts w:ascii="Times New Roman" w:eastAsia="Times New Roman" w:hAnsi="Times New Roman" w:cs="Times New Roman"/>
      <w:b/>
      <w:bCs/>
      <w:sz w:val="20"/>
      <w:szCs w:val="20"/>
      <w:lang w:val="sl-SI" w:eastAsia="sl-SI"/>
    </w:rPr>
  </w:style>
  <w:style w:type="paragraph" w:customStyle="1" w:styleId="lo-normal">
    <w:name w:val="lo-normal"/>
    <w:basedOn w:val="Normal"/>
    <w:rsid w:val="009460D4"/>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7402">
      <w:bodyDiv w:val="1"/>
      <w:marLeft w:val="0"/>
      <w:marRight w:val="0"/>
      <w:marTop w:val="0"/>
      <w:marBottom w:val="0"/>
      <w:divBdr>
        <w:top w:val="none" w:sz="0" w:space="0" w:color="auto"/>
        <w:left w:val="none" w:sz="0" w:space="0" w:color="auto"/>
        <w:bottom w:val="none" w:sz="0" w:space="0" w:color="auto"/>
        <w:right w:val="none" w:sz="0" w:space="0" w:color="auto"/>
      </w:divBdr>
    </w:div>
    <w:div w:id="196967898">
      <w:bodyDiv w:val="1"/>
      <w:marLeft w:val="0"/>
      <w:marRight w:val="0"/>
      <w:marTop w:val="0"/>
      <w:marBottom w:val="0"/>
      <w:divBdr>
        <w:top w:val="none" w:sz="0" w:space="0" w:color="auto"/>
        <w:left w:val="none" w:sz="0" w:space="0" w:color="auto"/>
        <w:bottom w:val="none" w:sz="0" w:space="0" w:color="auto"/>
        <w:right w:val="none" w:sz="0" w:space="0" w:color="auto"/>
      </w:divBdr>
      <w:divsChild>
        <w:div w:id="574168493">
          <w:marLeft w:val="0"/>
          <w:marRight w:val="0"/>
          <w:marTop w:val="0"/>
          <w:marBottom w:val="0"/>
          <w:divBdr>
            <w:top w:val="none" w:sz="0" w:space="0" w:color="auto"/>
            <w:left w:val="none" w:sz="0" w:space="0" w:color="auto"/>
            <w:bottom w:val="none" w:sz="0" w:space="0" w:color="auto"/>
            <w:right w:val="none" w:sz="0" w:space="0" w:color="auto"/>
          </w:divBdr>
          <w:divsChild>
            <w:div w:id="374240065">
              <w:marLeft w:val="0"/>
              <w:marRight w:val="0"/>
              <w:marTop w:val="0"/>
              <w:marBottom w:val="0"/>
              <w:divBdr>
                <w:top w:val="none" w:sz="0" w:space="0" w:color="auto"/>
                <w:left w:val="none" w:sz="0" w:space="0" w:color="auto"/>
                <w:bottom w:val="none" w:sz="0" w:space="0" w:color="auto"/>
                <w:right w:val="none" w:sz="0" w:space="0" w:color="auto"/>
              </w:divBdr>
              <w:divsChild>
                <w:div w:id="484123698">
                  <w:marLeft w:val="0"/>
                  <w:marRight w:val="0"/>
                  <w:marTop w:val="0"/>
                  <w:marBottom w:val="0"/>
                  <w:divBdr>
                    <w:top w:val="none" w:sz="0" w:space="0" w:color="auto"/>
                    <w:left w:val="none" w:sz="0" w:space="0" w:color="auto"/>
                    <w:bottom w:val="none" w:sz="0" w:space="0" w:color="auto"/>
                    <w:right w:val="none" w:sz="0" w:space="0" w:color="auto"/>
                  </w:divBdr>
                  <w:divsChild>
                    <w:div w:id="1664383812">
                      <w:marLeft w:val="0"/>
                      <w:marRight w:val="0"/>
                      <w:marTop w:val="0"/>
                      <w:marBottom w:val="0"/>
                      <w:divBdr>
                        <w:top w:val="none" w:sz="0" w:space="0" w:color="auto"/>
                        <w:left w:val="none" w:sz="0" w:space="0" w:color="auto"/>
                        <w:bottom w:val="none" w:sz="0" w:space="0" w:color="auto"/>
                        <w:right w:val="none" w:sz="0" w:space="0" w:color="auto"/>
                      </w:divBdr>
                      <w:divsChild>
                        <w:div w:id="2024476852">
                          <w:marLeft w:val="0"/>
                          <w:marRight w:val="0"/>
                          <w:marTop w:val="0"/>
                          <w:marBottom w:val="0"/>
                          <w:divBdr>
                            <w:top w:val="none" w:sz="0" w:space="0" w:color="auto"/>
                            <w:left w:val="none" w:sz="0" w:space="0" w:color="auto"/>
                            <w:bottom w:val="none" w:sz="0" w:space="0" w:color="auto"/>
                            <w:right w:val="none" w:sz="0" w:space="0" w:color="auto"/>
                          </w:divBdr>
                          <w:divsChild>
                            <w:div w:id="1616909560">
                              <w:marLeft w:val="0"/>
                              <w:marRight w:val="0"/>
                              <w:marTop w:val="0"/>
                              <w:marBottom w:val="0"/>
                              <w:divBdr>
                                <w:top w:val="none" w:sz="0" w:space="0" w:color="auto"/>
                                <w:left w:val="none" w:sz="0" w:space="0" w:color="auto"/>
                                <w:bottom w:val="none" w:sz="0" w:space="0" w:color="auto"/>
                                <w:right w:val="none" w:sz="0" w:space="0" w:color="auto"/>
                              </w:divBdr>
                              <w:divsChild>
                                <w:div w:id="757016645">
                                  <w:marLeft w:val="0"/>
                                  <w:marRight w:val="0"/>
                                  <w:marTop w:val="0"/>
                                  <w:marBottom w:val="0"/>
                                  <w:divBdr>
                                    <w:top w:val="none" w:sz="0" w:space="0" w:color="auto"/>
                                    <w:left w:val="none" w:sz="0" w:space="0" w:color="auto"/>
                                    <w:bottom w:val="none" w:sz="0" w:space="0" w:color="auto"/>
                                    <w:right w:val="none" w:sz="0" w:space="0" w:color="auto"/>
                                  </w:divBdr>
                                  <w:divsChild>
                                    <w:div w:id="1666204657">
                                      <w:marLeft w:val="0"/>
                                      <w:marRight w:val="0"/>
                                      <w:marTop w:val="0"/>
                                      <w:marBottom w:val="0"/>
                                      <w:divBdr>
                                        <w:top w:val="none" w:sz="0" w:space="0" w:color="auto"/>
                                        <w:left w:val="none" w:sz="0" w:space="0" w:color="auto"/>
                                        <w:bottom w:val="none" w:sz="0" w:space="0" w:color="auto"/>
                                        <w:right w:val="none" w:sz="0" w:space="0" w:color="auto"/>
                                      </w:divBdr>
                                    </w:div>
                                    <w:div w:id="5457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039613">
      <w:bodyDiv w:val="1"/>
      <w:marLeft w:val="0"/>
      <w:marRight w:val="0"/>
      <w:marTop w:val="0"/>
      <w:marBottom w:val="0"/>
      <w:divBdr>
        <w:top w:val="none" w:sz="0" w:space="0" w:color="auto"/>
        <w:left w:val="none" w:sz="0" w:space="0" w:color="auto"/>
        <w:bottom w:val="none" w:sz="0" w:space="0" w:color="auto"/>
        <w:right w:val="none" w:sz="0" w:space="0" w:color="auto"/>
      </w:divBdr>
    </w:div>
    <w:div w:id="19539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umanitas.si" TargetMode="External"/><Relationship Id="rId13" Type="http://schemas.openxmlformats.org/officeDocument/2006/relationships/hyperlink" Target="http://asb.opec.org/index.php/data-download" TargetMode="External"/><Relationship Id="rId3" Type="http://schemas.microsoft.com/office/2007/relationships/stylesWithEffects" Target="stylesWithEffects.xml"/><Relationship Id="rId7" Type="http://schemas.openxmlformats.org/officeDocument/2006/relationships/hyperlink" Target="https://en.wikipedia.org/wiki/G8_%28forum%29" TargetMode="External"/><Relationship Id="rId12" Type="http://schemas.openxmlformats.org/officeDocument/2006/relationships/hyperlink" Target="http://www.globalcarbonatlas.org/?q=en/e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www.unpopul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Gall%E2%80%93Peters_projec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1027</Words>
  <Characters>5855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Uporabnik sistema Windows</cp:lastModifiedBy>
  <cp:revision>15</cp:revision>
  <dcterms:created xsi:type="dcterms:W3CDTF">2017-12-06T13:00:00Z</dcterms:created>
  <dcterms:modified xsi:type="dcterms:W3CDTF">2017-12-11T22:47:00Z</dcterms:modified>
</cp:coreProperties>
</file>